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7740"/>
      </w:tblGrid>
      <w:tr w:rsidR="001B6423">
        <w:trPr>
          <w:cantSplit/>
          <w:trHeight w:val="80"/>
        </w:trPr>
        <w:tc>
          <w:tcPr>
            <w:tcW w:w="3060" w:type="dxa"/>
            <w:vMerge w:val="restart"/>
            <w:tcBorders>
              <w:top w:val="single" w:sz="4" w:space="0" w:color="333399"/>
              <w:left w:val="nil"/>
              <w:bottom w:val="single" w:sz="4" w:space="0" w:color="auto"/>
              <w:right w:val="nil"/>
            </w:tcBorders>
          </w:tcPr>
          <w:p w:rsidR="001B6423" w:rsidRPr="00BA16C9" w:rsidRDefault="001B6423">
            <w:pPr>
              <w:ind w:right="-558"/>
              <w:jc w:val="both"/>
              <w:rPr>
                <w:rFonts w:asciiTheme="minorHAnsi" w:hAnsiTheme="minorHAnsi" w:cstheme="minorHAnsi"/>
                <w:b/>
              </w:rPr>
            </w:pPr>
          </w:p>
        </w:tc>
        <w:tc>
          <w:tcPr>
            <w:tcW w:w="7740" w:type="dxa"/>
            <w:tcBorders>
              <w:top w:val="single" w:sz="4" w:space="0" w:color="333399"/>
              <w:left w:val="nil"/>
              <w:bottom w:val="nil"/>
              <w:right w:val="nil"/>
            </w:tcBorders>
          </w:tcPr>
          <w:p w:rsidR="001B6423" w:rsidRDefault="001B6423">
            <w:pPr>
              <w:ind w:right="-720"/>
              <w:jc w:val="both"/>
              <w:rPr>
                <w:sz w:val="16"/>
              </w:rPr>
            </w:pPr>
          </w:p>
        </w:tc>
      </w:tr>
      <w:tr w:rsidR="00BA16C9">
        <w:trPr>
          <w:cantSplit/>
          <w:trHeight w:val="872"/>
        </w:trPr>
        <w:tc>
          <w:tcPr>
            <w:tcW w:w="3060" w:type="dxa"/>
            <w:vMerge/>
            <w:tcBorders>
              <w:top w:val="single" w:sz="4" w:space="0" w:color="auto"/>
              <w:left w:val="nil"/>
              <w:right w:val="nil"/>
            </w:tcBorders>
          </w:tcPr>
          <w:p w:rsidR="00BA16C9" w:rsidRDefault="00BA16C9" w:rsidP="00BA16C9">
            <w:pPr>
              <w:ind w:right="-720"/>
              <w:jc w:val="both"/>
            </w:pPr>
          </w:p>
        </w:tc>
        <w:tc>
          <w:tcPr>
            <w:tcW w:w="7740" w:type="dxa"/>
            <w:tcBorders>
              <w:top w:val="nil"/>
              <w:left w:val="nil"/>
              <w:bottom w:val="nil"/>
              <w:right w:val="nil"/>
            </w:tcBorders>
          </w:tcPr>
          <w:p w:rsidR="00BA16C9" w:rsidRDefault="00BA16C9" w:rsidP="00BA16C9">
            <w:pPr>
              <w:ind w:left="69" w:right="-720" w:hanging="69"/>
              <w:jc w:val="both"/>
              <w:rPr>
                <w:color w:val="000080"/>
              </w:rPr>
            </w:pPr>
            <w:r>
              <w:rPr>
                <w:rFonts w:asciiTheme="minorHAnsi" w:hAnsiTheme="minorHAnsi" w:cstheme="minorHAnsi"/>
                <w:b/>
                <w:color w:val="1F497D" w:themeColor="text2"/>
              </w:rPr>
              <w:t xml:space="preserve">                       </w:t>
            </w:r>
            <w:r w:rsidRPr="00A74AAD">
              <w:rPr>
                <w:rFonts w:asciiTheme="minorHAnsi" w:hAnsiTheme="minorHAnsi" w:cstheme="minorHAnsi"/>
                <w:b/>
                <w:color w:val="1F497D" w:themeColor="text2"/>
              </w:rPr>
              <w:t>PROGRAM A</w:t>
            </w:r>
          </w:p>
        </w:tc>
      </w:tr>
      <w:tr w:rsidR="00BA16C9">
        <w:trPr>
          <w:cantSplit/>
          <w:trHeight w:val="70"/>
        </w:trPr>
        <w:tc>
          <w:tcPr>
            <w:tcW w:w="3060" w:type="dxa"/>
            <w:vMerge/>
            <w:tcBorders>
              <w:left w:val="nil"/>
              <w:bottom w:val="single" w:sz="4" w:space="0" w:color="333399"/>
              <w:right w:val="nil"/>
            </w:tcBorders>
          </w:tcPr>
          <w:p w:rsidR="00BA16C9" w:rsidRDefault="00BA16C9" w:rsidP="00BA16C9">
            <w:pPr>
              <w:ind w:right="-720"/>
              <w:jc w:val="both"/>
            </w:pPr>
          </w:p>
        </w:tc>
        <w:tc>
          <w:tcPr>
            <w:tcW w:w="7740" w:type="dxa"/>
            <w:tcBorders>
              <w:top w:val="nil"/>
              <w:left w:val="nil"/>
              <w:bottom w:val="single" w:sz="4" w:space="0" w:color="333399"/>
              <w:right w:val="nil"/>
            </w:tcBorders>
          </w:tcPr>
          <w:p w:rsidR="00BA16C9" w:rsidRDefault="00BA16C9" w:rsidP="00BA16C9">
            <w:pPr>
              <w:ind w:right="-720"/>
              <w:jc w:val="both"/>
              <w:rPr>
                <w:sz w:val="16"/>
              </w:rPr>
            </w:pPr>
            <w:r>
              <w:rPr>
                <w:sz w:val="16"/>
              </w:rPr>
              <w:t xml:space="preserve">         </w:t>
            </w:r>
          </w:p>
        </w:tc>
      </w:tr>
    </w:tbl>
    <w:p w:rsidR="001B6423" w:rsidRDefault="001B6423">
      <w:pPr>
        <w:ind w:right="-720"/>
        <w:jc w:val="both"/>
        <w:rPr>
          <w:sz w:val="6"/>
        </w:rPr>
      </w:pPr>
    </w:p>
    <w:p w:rsidR="001B6423" w:rsidRPr="000220C3" w:rsidRDefault="001B6423">
      <w:pPr>
        <w:pStyle w:val="Header"/>
        <w:jc w:val="both"/>
        <w:rPr>
          <w:rFonts w:ascii="Arial Black" w:hAnsi="Arial Black"/>
          <w:color w:val="000080"/>
          <w:sz w:val="56"/>
          <w:szCs w:val="56"/>
        </w:rPr>
      </w:pPr>
    </w:p>
    <w:tbl>
      <w:tblPr>
        <w:tblW w:w="0" w:type="auto"/>
        <w:tblInd w:w="108" w:type="dxa"/>
        <w:tblBorders>
          <w:bottom w:val="single" w:sz="4" w:space="0" w:color="auto"/>
          <w:insideH w:val="single" w:sz="4" w:space="0" w:color="auto"/>
        </w:tblBorders>
        <w:tblLook w:val="0000" w:firstRow="0" w:lastRow="0" w:firstColumn="0" w:lastColumn="0" w:noHBand="0" w:noVBand="0"/>
      </w:tblPr>
      <w:tblGrid>
        <w:gridCol w:w="1078"/>
        <w:gridCol w:w="9614"/>
      </w:tblGrid>
      <w:tr w:rsidR="001B6423">
        <w:trPr>
          <w:trHeight w:val="378"/>
        </w:trPr>
        <w:tc>
          <w:tcPr>
            <w:tcW w:w="1080" w:type="dxa"/>
            <w:tcBorders>
              <w:top w:val="nil"/>
              <w:bottom w:val="nil"/>
            </w:tcBorders>
          </w:tcPr>
          <w:p w:rsidR="001B6423" w:rsidRDefault="001B6423">
            <w:pPr>
              <w:pStyle w:val="Header"/>
              <w:jc w:val="both"/>
              <w:rPr>
                <w:b/>
                <w:bCs/>
                <w:color w:val="000080"/>
                <w:sz w:val="32"/>
              </w:rPr>
            </w:pPr>
            <w:r>
              <w:rPr>
                <w:b/>
                <w:bCs/>
                <w:color w:val="000080"/>
                <w:sz w:val="32"/>
              </w:rPr>
              <w:t>Title:</w:t>
            </w:r>
          </w:p>
        </w:tc>
        <w:tc>
          <w:tcPr>
            <w:tcW w:w="9735" w:type="dxa"/>
            <w:tcBorders>
              <w:top w:val="nil"/>
              <w:bottom w:val="single" w:sz="18" w:space="0" w:color="333399"/>
            </w:tcBorders>
            <w:vAlign w:val="bottom"/>
          </w:tcPr>
          <w:p w:rsidR="001B6423" w:rsidRPr="00AB4C08" w:rsidRDefault="004F7AFF" w:rsidP="00A30326">
            <w:pPr>
              <w:pStyle w:val="Header"/>
              <w:ind w:right="-1116"/>
              <w:jc w:val="both"/>
              <w:rPr>
                <w:rFonts w:ascii="Arial" w:hAnsi="Arial" w:cs="Arial"/>
                <w:b/>
                <w:sz w:val="26"/>
                <w:szCs w:val="26"/>
              </w:rPr>
            </w:pPr>
            <w:r>
              <w:rPr>
                <w:b/>
              </w:rPr>
              <w:t>Opioid Detoxification with Buprenorphine in Residential Rehabilitation Settings</w:t>
            </w:r>
          </w:p>
        </w:tc>
      </w:tr>
    </w:tbl>
    <w:p w:rsidR="001B6423" w:rsidRDefault="001B6423">
      <w:pPr>
        <w:jc w:val="both"/>
        <w:rPr>
          <w:b/>
        </w:rPr>
      </w:pPr>
    </w:p>
    <w:p w:rsidR="001B6423" w:rsidRDefault="001B6423">
      <w:pPr>
        <w:jc w:val="both"/>
        <w:rPr>
          <w:rFonts w:ascii="Arial" w:hAnsi="Arial" w:cs="Arial"/>
          <w:b/>
          <w:bCs/>
        </w:rPr>
      </w:pPr>
      <w:r>
        <w:rPr>
          <w:rFonts w:ascii="Arial" w:hAnsi="Arial" w:cs="Arial"/>
          <w:b/>
          <w:bCs/>
        </w:rPr>
        <w:t>POLICY</w:t>
      </w:r>
    </w:p>
    <w:p w:rsidR="00E952FC" w:rsidRDefault="004F7AFF" w:rsidP="004F7AFF">
      <w:pPr>
        <w:rPr>
          <w:rFonts w:asciiTheme="minorHAnsi" w:hAnsiTheme="minorHAnsi"/>
          <w:sz w:val="22"/>
        </w:rPr>
      </w:pPr>
      <w:r>
        <w:t>The goal of medically supervised withdrawal from opioids is to provide a smooth transition from a physically dependent to a physically nondependent state.  Patients who meet the American Society of Addiction Medicine (ASAM) criteria for Level 3.2-WM qualify for Clinically Managed Residential Withdrawal Management.  This determination of whi</w:t>
      </w:r>
      <w:bookmarkStart w:id="0" w:name="_GoBack"/>
      <w:bookmarkEnd w:id="0"/>
      <w:r>
        <w:t>ch patients qualify for this level of withdrawal management shall be made by appropriately trained staff and approved by a physician. This protocol is for opioid detoxification using buprenorphine as the withdrawal medication.</w:t>
      </w:r>
      <w:r w:rsidR="00F54BF9">
        <w:t xml:space="preserve"> </w:t>
      </w:r>
      <w:r w:rsidR="00E952FC">
        <w:t>All services provided under this Policy and Procedure shall be in accordance with Section 1600 to 16030 of the Department of Health Care Services certification standards for Residential Detoxification Services. Eligible participants shall be as described in section 16015(d) Medically-managed residential detoxification which states in part:</w:t>
      </w:r>
      <w:r w:rsidR="00F54BF9">
        <w:t xml:space="preserve"> </w:t>
      </w:r>
      <w:r w:rsidR="00E952FC">
        <w:t>“Medically-managed residential detoxification services are appropriate for participants whose level of physiological dependence upon alcohol and/or other drugs requires prescribed medication for the management of withdrawal, but whose withdrawal signs and symptoms do not require the full resources of a medically-monitored inpatient detoxification facility.”</w:t>
      </w:r>
    </w:p>
    <w:p w:rsidR="001B6423" w:rsidRDefault="001B6423">
      <w:pPr>
        <w:jc w:val="both"/>
        <w:rPr>
          <w:rFonts w:ascii="Arial" w:hAnsi="Arial" w:cs="Arial"/>
        </w:rPr>
      </w:pPr>
    </w:p>
    <w:p w:rsidR="004F7AFF" w:rsidRDefault="004F7AFF" w:rsidP="004F7AFF">
      <w:pPr>
        <w:jc w:val="both"/>
        <w:rPr>
          <w:rFonts w:ascii="Arial" w:hAnsi="Arial" w:cs="Arial"/>
          <w:bCs/>
        </w:rPr>
      </w:pPr>
      <w:r>
        <w:rPr>
          <w:rFonts w:ascii="Arial" w:hAnsi="Arial" w:cs="Arial"/>
          <w:b/>
          <w:bCs/>
        </w:rPr>
        <w:t>PROCEDURE</w:t>
      </w:r>
    </w:p>
    <w:p w:rsidR="004F7AFF" w:rsidRDefault="004F7AFF" w:rsidP="004F7AFF">
      <w:pPr>
        <w:pStyle w:val="ListParagraph"/>
        <w:numPr>
          <w:ilvl w:val="0"/>
          <w:numId w:val="30"/>
        </w:numPr>
        <w:overflowPunct/>
        <w:autoSpaceDE/>
        <w:autoSpaceDN/>
        <w:adjustRightInd/>
        <w:spacing w:after="160" w:line="256" w:lineRule="auto"/>
        <w:contextualSpacing/>
        <w:textAlignment w:val="auto"/>
        <w:rPr>
          <w:rFonts w:asciiTheme="minorHAnsi" w:hAnsiTheme="minorHAnsi"/>
          <w:sz w:val="22"/>
        </w:rPr>
      </w:pPr>
      <w:r>
        <w:t xml:space="preserve">A licensed </w:t>
      </w:r>
      <w:r w:rsidR="00F54BF9">
        <w:t>physician appropriately</w:t>
      </w:r>
      <w:r w:rsidR="00B400D6">
        <w:t xml:space="preserve"> credentialed and certified in the use of </w:t>
      </w:r>
      <w:r w:rsidR="00F54BF9">
        <w:t>buprenorphine</w:t>
      </w:r>
      <w:r w:rsidR="00B400D6">
        <w:t xml:space="preserve"> </w:t>
      </w:r>
      <w:r>
        <w:t>shall determine that the patient is appropriate for opioid detoxification at the residential level of care based on the following criteria:</w:t>
      </w:r>
    </w:p>
    <w:p w:rsidR="004F7AFF" w:rsidRDefault="004F7AFF" w:rsidP="004F7AFF">
      <w:pPr>
        <w:pStyle w:val="ListParagraph"/>
        <w:numPr>
          <w:ilvl w:val="1"/>
          <w:numId w:val="30"/>
        </w:numPr>
        <w:overflowPunct/>
        <w:autoSpaceDE/>
        <w:autoSpaceDN/>
        <w:adjustRightInd/>
        <w:spacing w:after="160" w:line="256" w:lineRule="auto"/>
        <w:contextualSpacing/>
        <w:textAlignment w:val="auto"/>
      </w:pPr>
      <w:r>
        <w:t>There is no acute medical problem that requires 24 hour nursing care or monitoring</w:t>
      </w:r>
    </w:p>
    <w:p w:rsidR="004F7AFF" w:rsidRDefault="004F7AFF" w:rsidP="004F7AFF">
      <w:pPr>
        <w:pStyle w:val="ListParagraph"/>
        <w:numPr>
          <w:ilvl w:val="1"/>
          <w:numId w:val="30"/>
        </w:numPr>
        <w:overflowPunct/>
        <w:autoSpaceDE/>
        <w:autoSpaceDN/>
        <w:adjustRightInd/>
        <w:spacing w:after="160" w:line="256" w:lineRule="auto"/>
        <w:contextualSpacing/>
        <w:textAlignment w:val="auto"/>
      </w:pPr>
      <w:r>
        <w:t>There is no severe psychological or cognitive problem that requires an inpatient unit stay</w:t>
      </w:r>
    </w:p>
    <w:p w:rsidR="004F7AFF" w:rsidRDefault="004F7AFF" w:rsidP="004F7AFF">
      <w:pPr>
        <w:pStyle w:val="ListParagraph"/>
        <w:numPr>
          <w:ilvl w:val="1"/>
          <w:numId w:val="30"/>
        </w:numPr>
        <w:overflowPunct/>
        <w:autoSpaceDE/>
        <w:autoSpaceDN/>
        <w:adjustRightInd/>
        <w:spacing w:after="160" w:line="256" w:lineRule="auto"/>
        <w:contextualSpacing/>
        <w:textAlignment w:val="auto"/>
      </w:pPr>
      <w:r>
        <w:t xml:space="preserve">The patient only needs detoxification from opioids and not from other substances such as alcohol and benzodiazepines </w:t>
      </w:r>
    </w:p>
    <w:p w:rsidR="00B400D6" w:rsidRDefault="00EC4044" w:rsidP="004F7AFF">
      <w:pPr>
        <w:pStyle w:val="ListParagraph"/>
        <w:numPr>
          <w:ilvl w:val="1"/>
          <w:numId w:val="30"/>
        </w:numPr>
        <w:overflowPunct/>
        <w:autoSpaceDE/>
        <w:autoSpaceDN/>
        <w:adjustRightInd/>
        <w:spacing w:after="160" w:line="256" w:lineRule="auto"/>
        <w:contextualSpacing/>
        <w:textAlignment w:val="auto"/>
      </w:pPr>
      <w:r>
        <w:t xml:space="preserve">All </w:t>
      </w:r>
      <w:r w:rsidR="00F54BF9">
        <w:t>buprenorphine</w:t>
      </w:r>
      <w:r>
        <w:t xml:space="preserve"> orders and adjustments i</w:t>
      </w:r>
      <w:r w:rsidR="00F171AF">
        <w:t>n</w:t>
      </w:r>
      <w:r>
        <w:t xml:space="preserve"> dosages shall only be made by a </w:t>
      </w:r>
      <w:r w:rsidR="00F54BF9">
        <w:t>buprenorphine</w:t>
      </w:r>
      <w:r>
        <w:t xml:space="preserve"> certified physician.</w:t>
      </w:r>
    </w:p>
    <w:p w:rsidR="004F7AFF" w:rsidRDefault="004F7AFF" w:rsidP="004F7AFF">
      <w:pPr>
        <w:pStyle w:val="ListParagraph"/>
        <w:numPr>
          <w:ilvl w:val="0"/>
          <w:numId w:val="30"/>
        </w:numPr>
        <w:overflowPunct/>
        <w:autoSpaceDE/>
        <w:autoSpaceDN/>
        <w:adjustRightInd/>
        <w:spacing w:after="160" w:line="256" w:lineRule="auto"/>
        <w:contextualSpacing/>
        <w:textAlignment w:val="auto"/>
      </w:pPr>
      <w:r>
        <w:t xml:space="preserve">A History and Physical shall be completed by a medical provider </w:t>
      </w:r>
      <w:r w:rsidR="00E952FC">
        <w:t xml:space="preserve">licensed pursuant to Section 4036, Chapter 9, Division 2 of the Business and Professional Code prior to the prescribing of </w:t>
      </w:r>
      <w:r w:rsidR="00F54BF9">
        <w:t>buprenorphine</w:t>
      </w:r>
      <w:r w:rsidR="00E952FC">
        <w:t xml:space="preserve">. </w:t>
      </w:r>
    </w:p>
    <w:p w:rsidR="004F7AFF" w:rsidRDefault="004F7AFF" w:rsidP="004F7AFF">
      <w:pPr>
        <w:pStyle w:val="ListParagraph"/>
        <w:numPr>
          <w:ilvl w:val="0"/>
          <w:numId w:val="30"/>
        </w:numPr>
        <w:overflowPunct/>
        <w:autoSpaceDE/>
        <w:autoSpaceDN/>
        <w:adjustRightInd/>
        <w:spacing w:after="160" w:line="256" w:lineRule="auto"/>
        <w:contextualSpacing/>
        <w:textAlignment w:val="auto"/>
        <w:rPr>
          <w:i/>
        </w:rPr>
      </w:pPr>
      <w:r>
        <w:t xml:space="preserve">The protocol for opioid detox using </w:t>
      </w:r>
      <w:r w:rsidR="00F54BF9">
        <w:t>buprenorphine</w:t>
      </w:r>
      <w:r>
        <w:t xml:space="preserve"> shall follow the </w:t>
      </w:r>
      <w:r>
        <w:rPr>
          <w:i/>
        </w:rPr>
        <w:t>Clinical Guidelines for the Use of Buprenorphine in the Treatment of Opioid Addiction</w:t>
      </w:r>
      <w:r>
        <w:t xml:space="preserve"> in Treatment Improvement Protocol (TIP) Series 40 published by the Substance Abuse and Mental Health Services Administration (SAMHSA), 2004.</w:t>
      </w:r>
    </w:p>
    <w:p w:rsidR="004F7AFF" w:rsidRDefault="004F7AFF" w:rsidP="004F7AFF">
      <w:pPr>
        <w:pStyle w:val="ListParagraph"/>
        <w:numPr>
          <w:ilvl w:val="0"/>
          <w:numId w:val="30"/>
        </w:numPr>
        <w:overflowPunct/>
        <w:autoSpaceDE/>
        <w:autoSpaceDN/>
        <w:adjustRightInd/>
        <w:spacing w:after="160" w:line="256" w:lineRule="auto"/>
        <w:contextualSpacing/>
        <w:textAlignment w:val="auto"/>
        <w:rPr>
          <w:i/>
        </w:rPr>
      </w:pPr>
      <w:r>
        <w:t>Before the administration of buprenorphine the patient must show signs of opiate withdrawal as measured by the Clinical Opiate Withdrawal Scale (COWS) and have a score great than 12.</w:t>
      </w:r>
    </w:p>
    <w:p w:rsidR="004F7AFF" w:rsidRDefault="004F7AFF" w:rsidP="004F7AFF">
      <w:pPr>
        <w:pStyle w:val="ListParagraph"/>
        <w:numPr>
          <w:ilvl w:val="0"/>
          <w:numId w:val="30"/>
        </w:numPr>
        <w:overflowPunct/>
        <w:autoSpaceDE/>
        <w:autoSpaceDN/>
        <w:adjustRightInd/>
        <w:spacing w:after="160" w:line="256" w:lineRule="auto"/>
        <w:contextualSpacing/>
        <w:textAlignment w:val="auto"/>
        <w:rPr>
          <w:i/>
        </w:rPr>
      </w:pPr>
      <w:r>
        <w:t>An initial dose of 4 mg of buprenorphine or 4/1 mg of buprenorphine/naloxone can be provided. A second dose of 4 mg or 4/1 mg can provided</w:t>
      </w:r>
      <w:r w:rsidR="002A6C3A">
        <w:t xml:space="preserve"> two hours later, if </w:t>
      </w:r>
      <w:r w:rsidR="00886E18">
        <w:t>withdrawal symptoms are still present.</w:t>
      </w:r>
      <w:r>
        <w:t xml:space="preserve">  The patient shall be observed by staff for 3-5 minutes after the buprenorphine is placed sublingually under the tongue to make sure it is taken appropriately.</w:t>
      </w:r>
      <w:r w:rsidR="00B400D6">
        <w:t xml:space="preserve"> </w:t>
      </w:r>
      <w:r w:rsidR="00886E18">
        <w:t xml:space="preserve">A </w:t>
      </w:r>
      <w:r w:rsidR="00886E18">
        <w:lastRenderedPageBreak/>
        <w:t>l</w:t>
      </w:r>
      <w:r w:rsidR="00B400D6">
        <w:t>ower initial dos</w:t>
      </w:r>
      <w:r w:rsidR="00886E18">
        <w:t>age (e.g., 2 mg or 2/1 mg)</w:t>
      </w:r>
      <w:r w:rsidR="00B400D6">
        <w:t xml:space="preserve"> may be appropriate in some patients based on drug usage. </w:t>
      </w:r>
    </w:p>
    <w:p w:rsidR="004F7AFF" w:rsidRDefault="004F7AFF" w:rsidP="004F7AFF">
      <w:pPr>
        <w:pStyle w:val="ListParagraph"/>
        <w:numPr>
          <w:ilvl w:val="0"/>
          <w:numId w:val="30"/>
        </w:numPr>
        <w:overflowPunct/>
        <w:autoSpaceDE/>
        <w:autoSpaceDN/>
        <w:adjustRightInd/>
        <w:spacing w:after="160" w:line="256" w:lineRule="auto"/>
        <w:contextualSpacing/>
        <w:textAlignment w:val="auto"/>
        <w:rPr>
          <w:i/>
        </w:rPr>
      </w:pPr>
      <w:r>
        <w:t>The following day the dose shall be adjusted to relieve withdrawal symptoms</w:t>
      </w:r>
      <w:r w:rsidR="002A6C3A">
        <w:t>, if they still exist</w:t>
      </w:r>
      <w:r>
        <w:t xml:space="preserve">.  </w:t>
      </w:r>
      <w:r w:rsidR="002A6C3A">
        <w:t>The dose should</w:t>
      </w:r>
      <w:r>
        <w:t xml:space="preserve"> not</w:t>
      </w:r>
      <w:r w:rsidR="002A6C3A">
        <w:t xml:space="preserve"> be increased</w:t>
      </w:r>
      <w:r>
        <w:t xml:space="preserve"> more than 4 mg or 4/1 mg more than previous day’s dose.  Do not administer more than 12 mg or 12/3 mg on Day 2. </w:t>
      </w:r>
      <w:r w:rsidR="00B400D6">
        <w:t xml:space="preserve">It is recommended to increase dosage incrementally. </w:t>
      </w:r>
    </w:p>
    <w:p w:rsidR="004F7AFF" w:rsidRDefault="004F7AFF" w:rsidP="004F7AFF">
      <w:pPr>
        <w:pStyle w:val="ListParagraph"/>
        <w:numPr>
          <w:ilvl w:val="0"/>
          <w:numId w:val="30"/>
        </w:numPr>
        <w:overflowPunct/>
        <w:autoSpaceDE/>
        <w:autoSpaceDN/>
        <w:adjustRightInd/>
        <w:spacing w:after="160" w:line="256" w:lineRule="auto"/>
        <w:contextualSpacing/>
        <w:textAlignment w:val="auto"/>
        <w:rPr>
          <w:i/>
        </w:rPr>
      </w:pPr>
      <w:r>
        <w:t>If withdrawal symptoms persist, do not increase more than 4 mg or 4/1 mg on subsequent days up to a maximum of 32 mg or 32/8 mg per day.  Few patients will need these higher doses.</w:t>
      </w:r>
    </w:p>
    <w:p w:rsidR="004F7AFF" w:rsidRDefault="004F7AFF" w:rsidP="004F7AFF">
      <w:pPr>
        <w:pStyle w:val="ListParagraph"/>
        <w:numPr>
          <w:ilvl w:val="0"/>
          <w:numId w:val="30"/>
        </w:numPr>
        <w:overflowPunct/>
        <w:autoSpaceDE/>
        <w:autoSpaceDN/>
        <w:adjustRightInd/>
        <w:spacing w:after="160" w:line="256" w:lineRule="auto"/>
        <w:contextualSpacing/>
        <w:textAlignment w:val="auto"/>
        <w:rPr>
          <w:i/>
        </w:rPr>
      </w:pPr>
      <w:r>
        <w:t>If there is a need for a rapid discontinuation of opioids, taper buprenorphine over 3-6 days.</w:t>
      </w:r>
    </w:p>
    <w:p w:rsidR="004F7AFF" w:rsidRPr="002A6C3A" w:rsidRDefault="004F7AFF" w:rsidP="005E623C">
      <w:pPr>
        <w:pStyle w:val="ListParagraph"/>
        <w:numPr>
          <w:ilvl w:val="0"/>
          <w:numId w:val="30"/>
        </w:numPr>
        <w:overflowPunct/>
        <w:autoSpaceDE/>
        <w:autoSpaceDN/>
        <w:adjustRightInd/>
        <w:spacing w:after="160" w:line="256" w:lineRule="auto"/>
        <w:contextualSpacing/>
        <w:jc w:val="both"/>
        <w:textAlignment w:val="auto"/>
        <w:rPr>
          <w:rFonts w:ascii="Arial" w:hAnsi="Arial" w:cs="Arial"/>
        </w:rPr>
      </w:pPr>
      <w:r>
        <w:t>If a more gradual taper is possible, taper over a period of 2 weeks, where the dosage is decreased 2 mg or 2/1 mg every 2 to 3 days.</w:t>
      </w:r>
    </w:p>
    <w:p w:rsidR="002A6C3A" w:rsidRPr="00E952FC" w:rsidRDefault="002A6C3A" w:rsidP="005E623C">
      <w:pPr>
        <w:pStyle w:val="ListParagraph"/>
        <w:numPr>
          <w:ilvl w:val="0"/>
          <w:numId w:val="30"/>
        </w:numPr>
        <w:overflowPunct/>
        <w:autoSpaceDE/>
        <w:autoSpaceDN/>
        <w:adjustRightInd/>
        <w:spacing w:after="160" w:line="256" w:lineRule="auto"/>
        <w:contextualSpacing/>
        <w:jc w:val="both"/>
        <w:textAlignment w:val="auto"/>
        <w:rPr>
          <w:rFonts w:ascii="Arial" w:hAnsi="Arial" w:cs="Arial"/>
        </w:rPr>
      </w:pPr>
      <w:r>
        <w:t>The physician shall establish and adjust the taper schedule as is medically necessary.</w:t>
      </w:r>
    </w:p>
    <w:p w:rsidR="00F54BF9" w:rsidRPr="002301EC" w:rsidRDefault="00E952FC" w:rsidP="005E623C">
      <w:pPr>
        <w:pStyle w:val="ListParagraph"/>
        <w:numPr>
          <w:ilvl w:val="0"/>
          <w:numId w:val="30"/>
        </w:numPr>
        <w:overflowPunct/>
        <w:autoSpaceDE/>
        <w:autoSpaceDN/>
        <w:adjustRightInd/>
        <w:spacing w:after="160" w:line="256" w:lineRule="auto"/>
        <w:contextualSpacing/>
        <w:jc w:val="both"/>
        <w:textAlignment w:val="auto"/>
        <w:rPr>
          <w:rFonts w:ascii="Arial" w:hAnsi="Arial" w:cs="Arial"/>
        </w:rPr>
      </w:pPr>
      <w:r>
        <w:t>Each individual shall be closely observed and physically checked</w:t>
      </w:r>
      <w:r w:rsidR="00E87390">
        <w:t xml:space="preserve"> at least every 30 minutes</w:t>
      </w:r>
      <w:r w:rsidR="00886E18">
        <w:t xml:space="preserve"> </w:t>
      </w:r>
      <w:r w:rsidR="00F54BF9">
        <w:t xml:space="preserve">24 hours each day </w:t>
      </w:r>
      <w:r>
        <w:t xml:space="preserve">while </w:t>
      </w:r>
      <w:r w:rsidR="00E87390">
        <w:t>undergoing detoxification services rendered under this protocol.</w:t>
      </w:r>
      <w:r w:rsidR="00886E18">
        <w:t xml:space="preserve"> </w:t>
      </w:r>
    </w:p>
    <w:p w:rsidR="00BE7838" w:rsidRPr="00F54BF9" w:rsidRDefault="00BE7838" w:rsidP="005E623C">
      <w:pPr>
        <w:pStyle w:val="ListParagraph"/>
        <w:numPr>
          <w:ilvl w:val="0"/>
          <w:numId w:val="30"/>
        </w:numPr>
        <w:overflowPunct/>
        <w:autoSpaceDE/>
        <w:autoSpaceDN/>
        <w:adjustRightInd/>
        <w:spacing w:after="160" w:line="256" w:lineRule="auto"/>
        <w:contextualSpacing/>
        <w:jc w:val="both"/>
        <w:textAlignment w:val="auto"/>
        <w:rPr>
          <w:rFonts w:ascii="Arial" w:hAnsi="Arial" w:cs="Arial"/>
        </w:rPr>
      </w:pPr>
      <w:r>
        <w:t xml:space="preserve">The </w:t>
      </w:r>
      <w:r w:rsidR="00837D60">
        <w:t>30 minute</w:t>
      </w:r>
      <w:r w:rsidR="006C3977">
        <w:t xml:space="preserve"> </w:t>
      </w:r>
      <w:r>
        <w:t xml:space="preserve">checks may be discontinued </w:t>
      </w:r>
      <w:r w:rsidR="002301EC">
        <w:t xml:space="preserve">prior to the discontinuation of medication if the prescribing physician deems them no longer necessary. </w:t>
      </w:r>
    </w:p>
    <w:p w:rsidR="00E87390" w:rsidRPr="00E87390" w:rsidRDefault="00E87390" w:rsidP="005E623C">
      <w:pPr>
        <w:pStyle w:val="ListParagraph"/>
        <w:numPr>
          <w:ilvl w:val="0"/>
          <w:numId w:val="30"/>
        </w:numPr>
        <w:overflowPunct/>
        <w:autoSpaceDE/>
        <w:autoSpaceDN/>
        <w:adjustRightInd/>
        <w:spacing w:after="160" w:line="256" w:lineRule="auto"/>
        <w:contextualSpacing/>
        <w:jc w:val="both"/>
        <w:textAlignment w:val="auto"/>
        <w:rPr>
          <w:rFonts w:ascii="Arial" w:hAnsi="Arial" w:cs="Arial"/>
        </w:rPr>
      </w:pPr>
      <w:r>
        <w:t>The Program Operations Supervisor shall assign one technician to perform this duty for every 15 patients undergoing detoxification servic</w:t>
      </w:r>
      <w:r w:rsidRPr="00F54BF9">
        <w:rPr>
          <w:rFonts w:ascii="Arial" w:hAnsi="Arial" w:cs="Arial"/>
        </w:rPr>
        <w:t>e</w:t>
      </w:r>
      <w:r>
        <w:t>s</w:t>
      </w:r>
    </w:p>
    <w:p w:rsidR="00E87390" w:rsidRPr="00E87390" w:rsidRDefault="00E87390" w:rsidP="005E623C">
      <w:pPr>
        <w:pStyle w:val="ListParagraph"/>
        <w:numPr>
          <w:ilvl w:val="0"/>
          <w:numId w:val="30"/>
        </w:numPr>
        <w:overflowPunct/>
        <w:autoSpaceDE/>
        <w:autoSpaceDN/>
        <w:adjustRightInd/>
        <w:spacing w:after="160" w:line="256" w:lineRule="auto"/>
        <w:contextualSpacing/>
        <w:jc w:val="both"/>
        <w:textAlignment w:val="auto"/>
        <w:rPr>
          <w:rFonts w:ascii="Arial" w:hAnsi="Arial" w:cs="Arial"/>
        </w:rPr>
      </w:pPr>
      <w:r>
        <w:t>Technician staff shall document and sign off on these physical checks using the attached form (</w:t>
      </w:r>
      <w:r w:rsidR="008C782C">
        <w:t>R</w:t>
      </w:r>
      <w:r w:rsidR="001159FE">
        <w:t>-1</w:t>
      </w:r>
      <w:r w:rsidR="008C782C">
        <w:t>57</w:t>
      </w:r>
      <w:r>
        <w:t>). This form shall be contained in the patient’s medical record.</w:t>
      </w:r>
    </w:p>
    <w:p w:rsidR="00E87390" w:rsidRPr="00E87390" w:rsidRDefault="00E87390" w:rsidP="005E623C">
      <w:pPr>
        <w:pStyle w:val="ListParagraph"/>
        <w:numPr>
          <w:ilvl w:val="0"/>
          <w:numId w:val="30"/>
        </w:numPr>
        <w:overflowPunct/>
        <w:autoSpaceDE/>
        <w:autoSpaceDN/>
        <w:adjustRightInd/>
        <w:spacing w:after="160" w:line="256" w:lineRule="auto"/>
        <w:contextualSpacing/>
        <w:jc w:val="both"/>
        <w:textAlignment w:val="auto"/>
        <w:rPr>
          <w:rFonts w:ascii="Arial" w:hAnsi="Arial" w:cs="Arial"/>
        </w:rPr>
      </w:pPr>
      <w:r>
        <w:t xml:space="preserve">At the end of each shift (7:00am &amp; 7:00pm) staff shall document patient progress by way of a progress note entered in the medical record. </w:t>
      </w:r>
    </w:p>
    <w:p w:rsidR="00E952FC" w:rsidRPr="004F7AFF" w:rsidRDefault="00E87390" w:rsidP="005E623C">
      <w:pPr>
        <w:pStyle w:val="ListParagraph"/>
        <w:numPr>
          <w:ilvl w:val="0"/>
          <w:numId w:val="30"/>
        </w:numPr>
        <w:overflowPunct/>
        <w:autoSpaceDE/>
        <w:autoSpaceDN/>
        <w:adjustRightInd/>
        <w:spacing w:after="160" w:line="256" w:lineRule="auto"/>
        <w:contextualSpacing/>
        <w:jc w:val="both"/>
        <w:textAlignment w:val="auto"/>
        <w:rPr>
          <w:rFonts w:ascii="Arial" w:hAnsi="Arial" w:cs="Arial"/>
        </w:rPr>
      </w:pPr>
      <w:r>
        <w:t xml:space="preserve">Patient checks </w:t>
      </w:r>
      <w:r w:rsidR="00F54BF9">
        <w:t>and medical</w:t>
      </w:r>
      <w:r w:rsidR="00886E18">
        <w:t xml:space="preserve"> record charting</w:t>
      </w:r>
      <w:r>
        <w:t xml:space="preserve"> shall continue until it is determined by the physician that medication is no longer necessary to manage the participant</w:t>
      </w:r>
      <w:r w:rsidR="00886E18">
        <w:t>’</w:t>
      </w:r>
      <w:r>
        <w:t xml:space="preserve">s withdrawal symptoms.   </w:t>
      </w:r>
    </w:p>
    <w:sectPr w:rsidR="00E952FC" w:rsidRPr="004F7AFF" w:rsidSect="00456731">
      <w:foot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7CE" w:rsidRDefault="003827CE">
      <w:r>
        <w:separator/>
      </w:r>
    </w:p>
  </w:endnote>
  <w:endnote w:type="continuationSeparator" w:id="0">
    <w:p w:rsidR="003827CE" w:rsidRDefault="0038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wiss 721 SWA">
    <w:altName w:val="Arial"/>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2"/>
      <w:gridCol w:w="1993"/>
      <w:gridCol w:w="2107"/>
      <w:gridCol w:w="2754"/>
    </w:tblGrid>
    <w:tr w:rsidR="007A6AC5" w:rsidRPr="00DA1927">
      <w:tc>
        <w:tcPr>
          <w:tcW w:w="4302" w:type="dxa"/>
        </w:tcPr>
        <w:p w:rsidR="007A6AC5" w:rsidRPr="00DA1927" w:rsidRDefault="004F7AFF">
          <w:pPr>
            <w:pStyle w:val="Footer"/>
            <w:rPr>
              <w:rFonts w:ascii="Arial" w:hAnsi="Arial" w:cs="Arial"/>
              <w:sz w:val="16"/>
            </w:rPr>
          </w:pPr>
          <w:r>
            <w:rPr>
              <w:rFonts w:ascii="Arial" w:hAnsi="Arial" w:cs="Arial"/>
              <w:sz w:val="16"/>
            </w:rPr>
            <w:t>Opioid Detox with Buprenorphine in Residential Settings</w:t>
          </w:r>
        </w:p>
      </w:tc>
      <w:tc>
        <w:tcPr>
          <w:tcW w:w="1993" w:type="dxa"/>
        </w:tcPr>
        <w:p w:rsidR="007A6AC5" w:rsidRPr="00DA1927" w:rsidRDefault="00214F77" w:rsidP="004F7AFF">
          <w:pPr>
            <w:pStyle w:val="Footer"/>
            <w:jc w:val="center"/>
            <w:rPr>
              <w:rFonts w:ascii="Arial" w:hAnsi="Arial" w:cs="Arial"/>
              <w:sz w:val="16"/>
            </w:rPr>
          </w:pPr>
          <w:r w:rsidRPr="00DA1927">
            <w:rPr>
              <w:rFonts w:ascii="Arial" w:hAnsi="Arial" w:cs="Arial"/>
              <w:sz w:val="16"/>
            </w:rPr>
            <w:t>W</w:t>
          </w:r>
          <w:r w:rsidR="007A6AC5" w:rsidRPr="00DA1927">
            <w:rPr>
              <w:rFonts w:ascii="Arial" w:hAnsi="Arial" w:cs="Arial"/>
              <w:sz w:val="16"/>
            </w:rPr>
            <w:t>ritten</w:t>
          </w:r>
          <w:r w:rsidR="004F7AFF">
            <w:rPr>
              <w:rFonts w:ascii="Arial" w:hAnsi="Arial" w:cs="Arial"/>
              <w:sz w:val="16"/>
            </w:rPr>
            <w:t xml:space="preserve">: </w:t>
          </w:r>
          <w:r>
            <w:rPr>
              <w:rFonts w:ascii="Arial" w:hAnsi="Arial" w:cs="Arial"/>
              <w:sz w:val="16"/>
            </w:rPr>
            <w:t>1</w:t>
          </w:r>
          <w:r w:rsidR="004F7AFF">
            <w:rPr>
              <w:rFonts w:ascii="Arial" w:hAnsi="Arial" w:cs="Arial"/>
              <w:sz w:val="16"/>
            </w:rPr>
            <w:t>1/20/15</w:t>
          </w:r>
        </w:p>
      </w:tc>
      <w:tc>
        <w:tcPr>
          <w:tcW w:w="2107" w:type="dxa"/>
        </w:tcPr>
        <w:p w:rsidR="007A6AC5" w:rsidRPr="00DA1927" w:rsidRDefault="007A6AC5" w:rsidP="00214F77">
          <w:pPr>
            <w:pStyle w:val="Footer"/>
            <w:jc w:val="center"/>
            <w:rPr>
              <w:rFonts w:ascii="Arial" w:hAnsi="Arial" w:cs="Arial"/>
              <w:sz w:val="16"/>
            </w:rPr>
          </w:pPr>
          <w:r w:rsidRPr="00DA1927">
            <w:rPr>
              <w:rFonts w:ascii="Arial" w:hAnsi="Arial" w:cs="Arial"/>
              <w:sz w:val="16"/>
            </w:rPr>
            <w:t xml:space="preserve">rev. </w:t>
          </w:r>
          <w:r w:rsidR="00A64BCB">
            <w:rPr>
              <w:rFonts w:ascii="Arial" w:hAnsi="Arial" w:cs="Arial"/>
              <w:sz w:val="16"/>
            </w:rPr>
            <w:t>12/</w:t>
          </w:r>
          <w:r w:rsidR="008C782C">
            <w:rPr>
              <w:rFonts w:ascii="Arial" w:hAnsi="Arial" w:cs="Arial"/>
              <w:sz w:val="16"/>
            </w:rPr>
            <w:t>8</w:t>
          </w:r>
          <w:r w:rsidR="00A64BCB">
            <w:rPr>
              <w:rFonts w:ascii="Arial" w:hAnsi="Arial" w:cs="Arial"/>
              <w:sz w:val="16"/>
            </w:rPr>
            <w:t>/15</w:t>
          </w:r>
        </w:p>
      </w:tc>
      <w:tc>
        <w:tcPr>
          <w:tcW w:w="2754" w:type="dxa"/>
        </w:tcPr>
        <w:p w:rsidR="007A6AC5" w:rsidRPr="00DA1927" w:rsidRDefault="007A6AC5">
          <w:pPr>
            <w:pStyle w:val="Footer"/>
            <w:jc w:val="right"/>
            <w:rPr>
              <w:rFonts w:ascii="Arial" w:hAnsi="Arial" w:cs="Arial"/>
              <w:sz w:val="16"/>
            </w:rPr>
          </w:pPr>
          <w:r w:rsidRPr="00DA1927">
            <w:rPr>
              <w:rFonts w:ascii="Arial" w:hAnsi="Arial" w:cs="Arial"/>
              <w:sz w:val="16"/>
            </w:rPr>
            <w:t xml:space="preserve">Page </w:t>
          </w:r>
          <w:r w:rsidR="00456731" w:rsidRPr="00DA1927">
            <w:rPr>
              <w:rFonts w:ascii="Arial" w:hAnsi="Arial" w:cs="Arial"/>
              <w:sz w:val="16"/>
            </w:rPr>
            <w:fldChar w:fldCharType="begin"/>
          </w:r>
          <w:r w:rsidRPr="00DA1927">
            <w:rPr>
              <w:rFonts w:ascii="Arial" w:hAnsi="Arial" w:cs="Arial"/>
              <w:sz w:val="16"/>
            </w:rPr>
            <w:instrText xml:space="preserve"> PAGE </w:instrText>
          </w:r>
          <w:r w:rsidR="00456731" w:rsidRPr="00DA1927">
            <w:rPr>
              <w:rFonts w:ascii="Arial" w:hAnsi="Arial" w:cs="Arial"/>
              <w:sz w:val="16"/>
            </w:rPr>
            <w:fldChar w:fldCharType="separate"/>
          </w:r>
          <w:r w:rsidR="00BA16C9">
            <w:rPr>
              <w:rFonts w:ascii="Arial" w:hAnsi="Arial" w:cs="Arial"/>
              <w:noProof/>
              <w:sz w:val="16"/>
            </w:rPr>
            <w:t>1</w:t>
          </w:r>
          <w:r w:rsidR="00456731" w:rsidRPr="00DA1927">
            <w:rPr>
              <w:rFonts w:ascii="Arial" w:hAnsi="Arial" w:cs="Arial"/>
              <w:sz w:val="16"/>
            </w:rPr>
            <w:fldChar w:fldCharType="end"/>
          </w:r>
          <w:r w:rsidRPr="00DA1927">
            <w:rPr>
              <w:rFonts w:ascii="Arial" w:hAnsi="Arial" w:cs="Arial"/>
              <w:sz w:val="16"/>
            </w:rPr>
            <w:t xml:space="preserve"> of </w:t>
          </w:r>
          <w:r w:rsidR="00456731" w:rsidRPr="00DA1927">
            <w:rPr>
              <w:rFonts w:ascii="Arial" w:hAnsi="Arial" w:cs="Arial"/>
              <w:sz w:val="16"/>
            </w:rPr>
            <w:fldChar w:fldCharType="begin"/>
          </w:r>
          <w:r w:rsidRPr="00DA1927">
            <w:rPr>
              <w:rFonts w:ascii="Arial" w:hAnsi="Arial" w:cs="Arial"/>
              <w:sz w:val="16"/>
            </w:rPr>
            <w:instrText xml:space="preserve"> NUMPAGES </w:instrText>
          </w:r>
          <w:r w:rsidR="00456731" w:rsidRPr="00DA1927">
            <w:rPr>
              <w:rFonts w:ascii="Arial" w:hAnsi="Arial" w:cs="Arial"/>
              <w:sz w:val="16"/>
            </w:rPr>
            <w:fldChar w:fldCharType="separate"/>
          </w:r>
          <w:r w:rsidR="00BA16C9">
            <w:rPr>
              <w:rFonts w:ascii="Arial" w:hAnsi="Arial" w:cs="Arial"/>
              <w:noProof/>
              <w:sz w:val="16"/>
            </w:rPr>
            <w:t>2</w:t>
          </w:r>
          <w:r w:rsidR="00456731" w:rsidRPr="00DA1927">
            <w:rPr>
              <w:rFonts w:ascii="Arial" w:hAnsi="Arial" w:cs="Arial"/>
              <w:sz w:val="16"/>
            </w:rPr>
            <w:fldChar w:fldCharType="end"/>
          </w:r>
        </w:p>
      </w:tc>
    </w:tr>
  </w:tbl>
  <w:p w:rsidR="007A6AC5" w:rsidRDefault="007A6AC5">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7CE" w:rsidRDefault="003827CE">
      <w:r>
        <w:separator/>
      </w:r>
    </w:p>
  </w:footnote>
  <w:footnote w:type="continuationSeparator" w:id="0">
    <w:p w:rsidR="003827CE" w:rsidRDefault="00382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501A4"/>
    <w:multiLevelType w:val="hybridMultilevel"/>
    <w:tmpl w:val="573854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3A199A"/>
    <w:multiLevelType w:val="hybridMultilevel"/>
    <w:tmpl w:val="C37C1DBA"/>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15:restartNumberingAfterBreak="0">
    <w:nsid w:val="025D6AC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7091B38"/>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07B13321"/>
    <w:multiLevelType w:val="hybridMultilevel"/>
    <w:tmpl w:val="4B0A2C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A67381"/>
    <w:multiLevelType w:val="multilevel"/>
    <w:tmpl w:val="6DDCFFC2"/>
    <w:lvl w:ilvl="0">
      <w:start w:val="1"/>
      <w:numFmt w:val="decimal"/>
      <w:pStyle w:val="Heading8"/>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7" w15:restartNumberingAfterBreak="0">
    <w:nsid w:val="10954763"/>
    <w:multiLevelType w:val="hybridMultilevel"/>
    <w:tmpl w:val="E7566688"/>
    <w:lvl w:ilvl="0" w:tplc="DDA6DF3C">
      <w:start w:val="1"/>
      <w:numFmt w:val="decimal"/>
      <w:lvlText w:val="%1."/>
      <w:lvlJc w:val="left"/>
      <w:pPr>
        <w:ind w:left="720" w:hanging="360"/>
      </w:pPr>
      <w:rPr>
        <w:rFonts w:ascii="Arial" w:hAnsi="Arial" w:cs="Arial" w:hint="default"/>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0D626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A30A78"/>
    <w:multiLevelType w:val="hybridMultilevel"/>
    <w:tmpl w:val="9EAE0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36358"/>
    <w:multiLevelType w:val="hybridMultilevel"/>
    <w:tmpl w:val="DEE0DCF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3A4AAB"/>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7772EB6"/>
    <w:multiLevelType w:val="hybridMultilevel"/>
    <w:tmpl w:val="854638CE"/>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B101E9"/>
    <w:multiLevelType w:val="hybridMultilevel"/>
    <w:tmpl w:val="053655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D76959"/>
    <w:multiLevelType w:val="hybridMultilevel"/>
    <w:tmpl w:val="9E98AFBA"/>
    <w:lvl w:ilvl="0" w:tplc="04090011">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9C411D"/>
    <w:multiLevelType w:val="multilevel"/>
    <w:tmpl w:val="91561F5E"/>
    <w:lvl w:ilvl="0">
      <w:start w:val="1"/>
      <w:numFmt w:val="decimal"/>
      <w:lvlText w:val="%1"/>
      <w:legacy w:legacy="1" w:legacySpace="72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6" w15:restartNumberingAfterBreak="0">
    <w:nsid w:val="33EB79C5"/>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37BB2D62"/>
    <w:multiLevelType w:val="hybridMultilevel"/>
    <w:tmpl w:val="EA0A4728"/>
    <w:lvl w:ilvl="0" w:tplc="68B2CD5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C472ACD"/>
    <w:multiLevelType w:val="hybridMultilevel"/>
    <w:tmpl w:val="7652A4FC"/>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9" w15:restartNumberingAfterBreak="0">
    <w:nsid w:val="3D0648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08030BC"/>
    <w:multiLevelType w:val="singleLevel"/>
    <w:tmpl w:val="D4346E1E"/>
    <w:lvl w:ilvl="0">
      <w:start w:val="1"/>
      <w:numFmt w:val="lowerLetter"/>
      <w:lvlText w:val="%1."/>
      <w:lvlJc w:val="left"/>
      <w:pPr>
        <w:tabs>
          <w:tab w:val="num" w:pos="720"/>
        </w:tabs>
        <w:ind w:left="720" w:hanging="360"/>
      </w:pPr>
      <w:rPr>
        <w:rFonts w:hint="default"/>
      </w:rPr>
    </w:lvl>
  </w:abstractNum>
  <w:abstractNum w:abstractNumId="21" w15:restartNumberingAfterBreak="0">
    <w:nsid w:val="4E043502"/>
    <w:multiLevelType w:val="singleLevel"/>
    <w:tmpl w:val="D4346E1E"/>
    <w:lvl w:ilvl="0">
      <w:start w:val="1"/>
      <w:numFmt w:val="lowerLetter"/>
      <w:lvlText w:val="%1."/>
      <w:lvlJc w:val="left"/>
      <w:pPr>
        <w:tabs>
          <w:tab w:val="num" w:pos="720"/>
        </w:tabs>
        <w:ind w:left="720" w:hanging="360"/>
      </w:pPr>
      <w:rPr>
        <w:rFonts w:hint="default"/>
      </w:rPr>
    </w:lvl>
  </w:abstractNum>
  <w:abstractNum w:abstractNumId="22" w15:restartNumberingAfterBreak="0">
    <w:nsid w:val="55933B36"/>
    <w:multiLevelType w:val="hybridMultilevel"/>
    <w:tmpl w:val="90520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776B0A"/>
    <w:multiLevelType w:val="singleLevel"/>
    <w:tmpl w:val="5F085332"/>
    <w:lvl w:ilvl="0">
      <w:start w:val="1"/>
      <w:numFmt w:val="lowerLetter"/>
      <w:lvlText w:val="%1."/>
      <w:lvlJc w:val="left"/>
      <w:pPr>
        <w:tabs>
          <w:tab w:val="num" w:pos="720"/>
        </w:tabs>
        <w:ind w:left="720" w:hanging="360"/>
      </w:pPr>
      <w:rPr>
        <w:rFonts w:hint="default"/>
      </w:rPr>
    </w:lvl>
  </w:abstractNum>
  <w:abstractNum w:abstractNumId="24" w15:restartNumberingAfterBreak="0">
    <w:nsid w:val="5CD76CC1"/>
    <w:multiLevelType w:val="hybridMultilevel"/>
    <w:tmpl w:val="E064E2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9E4BDA"/>
    <w:multiLevelType w:val="singleLevel"/>
    <w:tmpl w:val="6860A5A0"/>
    <w:lvl w:ilvl="0">
      <w:start w:val="1"/>
      <w:numFmt w:val="lowerLetter"/>
      <w:lvlText w:val="%1."/>
      <w:lvlJc w:val="left"/>
      <w:pPr>
        <w:tabs>
          <w:tab w:val="num" w:pos="720"/>
        </w:tabs>
        <w:ind w:left="720" w:hanging="360"/>
      </w:pPr>
      <w:rPr>
        <w:rFonts w:hint="default"/>
      </w:rPr>
    </w:lvl>
  </w:abstractNum>
  <w:abstractNum w:abstractNumId="26" w15:restartNumberingAfterBreak="0">
    <w:nsid w:val="609A2D55"/>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1D43DC1"/>
    <w:multiLevelType w:val="multilevel"/>
    <w:tmpl w:val="50BE02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8"/>
        </w:tabs>
        <w:ind w:left="1008" w:hanging="648"/>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8D84D3E"/>
    <w:multiLevelType w:val="hybridMultilevel"/>
    <w:tmpl w:val="F320A17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C701F06"/>
    <w:multiLevelType w:val="singleLevel"/>
    <w:tmpl w:val="0409000F"/>
    <w:lvl w:ilvl="0">
      <w:start w:val="1"/>
      <w:numFmt w:val="decimal"/>
      <w:lvlText w:val="%1."/>
      <w:lvlJc w:val="left"/>
      <w:pPr>
        <w:tabs>
          <w:tab w:val="num" w:pos="360"/>
        </w:tabs>
        <w:ind w:left="360" w:hanging="360"/>
      </w:pPr>
    </w:lvl>
  </w:abstractNum>
  <w:num w:numId="1">
    <w:abstractNumId w:val="12"/>
  </w:num>
  <w:num w:numId="2">
    <w:abstractNumId w:val="22"/>
  </w:num>
  <w:num w:numId="3">
    <w:abstractNumId w:val="17"/>
  </w:num>
  <w:num w:numId="4">
    <w:abstractNumId w:val="10"/>
  </w:num>
  <w:num w:numId="5">
    <w:abstractNumId w:val="5"/>
  </w:num>
  <w:num w:numId="6">
    <w:abstractNumId w:val="14"/>
  </w:num>
  <w:num w:numId="7">
    <w:abstractNumId w:val="0"/>
    <w:lvlOverride w:ilvl="0">
      <w:lvl w:ilvl="0">
        <w:start w:val="1"/>
        <w:numFmt w:val="bullet"/>
        <w:lvlText w:val=""/>
        <w:legacy w:legacy="1" w:legacySpace="0" w:legacyIndent="360"/>
        <w:lvlJc w:val="left"/>
        <w:pPr>
          <w:ind w:left="1512" w:hanging="360"/>
        </w:pPr>
        <w:rPr>
          <w:rFonts w:ascii="Symbol" w:hAnsi="Symbol" w:hint="default"/>
        </w:rPr>
      </w:lvl>
    </w:lvlOverride>
  </w:num>
  <w:num w:numId="8">
    <w:abstractNumId w:val="13"/>
  </w:num>
  <w:num w:numId="9">
    <w:abstractNumId w:val="18"/>
  </w:num>
  <w:num w:numId="10">
    <w:abstractNumId w:val="2"/>
  </w:num>
  <w:num w:numId="11">
    <w:abstractNumId w:val="1"/>
  </w:num>
  <w:num w:numId="12">
    <w:abstractNumId w:val="24"/>
  </w:num>
  <w:num w:numId="13">
    <w:abstractNumId w:val="28"/>
  </w:num>
  <w:num w:numId="14">
    <w:abstractNumId w:val="3"/>
  </w:num>
  <w:num w:numId="15">
    <w:abstractNumId w:val="26"/>
  </w:num>
  <w:num w:numId="16">
    <w:abstractNumId w:val="25"/>
  </w:num>
  <w:num w:numId="17">
    <w:abstractNumId w:val="19"/>
  </w:num>
  <w:num w:numId="18">
    <w:abstractNumId w:val="8"/>
  </w:num>
  <w:num w:numId="19">
    <w:abstractNumId w:val="4"/>
  </w:num>
  <w:num w:numId="20">
    <w:abstractNumId w:val="29"/>
  </w:num>
  <w:num w:numId="21">
    <w:abstractNumId w:val="23"/>
  </w:num>
  <w:num w:numId="22">
    <w:abstractNumId w:val="11"/>
  </w:num>
  <w:num w:numId="23">
    <w:abstractNumId w:val="20"/>
  </w:num>
  <w:num w:numId="24">
    <w:abstractNumId w:val="16"/>
  </w:num>
  <w:num w:numId="25">
    <w:abstractNumId w:val="21"/>
  </w:num>
  <w:num w:numId="26">
    <w:abstractNumId w:val="6"/>
  </w:num>
  <w:num w:numId="27">
    <w:abstractNumId w:val="15"/>
  </w:num>
  <w:num w:numId="28">
    <w:abstractNumId w:val="27"/>
  </w:num>
  <w:num w:numId="29">
    <w:abstractNumId w:val="9"/>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D0B"/>
    <w:rsid w:val="0001231E"/>
    <w:rsid w:val="000220C3"/>
    <w:rsid w:val="00037D7B"/>
    <w:rsid w:val="000B7F86"/>
    <w:rsid w:val="000C02A7"/>
    <w:rsid w:val="001159FE"/>
    <w:rsid w:val="00145634"/>
    <w:rsid w:val="001B6423"/>
    <w:rsid w:val="001B6459"/>
    <w:rsid w:val="00214F77"/>
    <w:rsid w:val="002301EC"/>
    <w:rsid w:val="00281E50"/>
    <w:rsid w:val="00296989"/>
    <w:rsid w:val="002A6C3A"/>
    <w:rsid w:val="002A6CE4"/>
    <w:rsid w:val="002C2B6E"/>
    <w:rsid w:val="002C69D5"/>
    <w:rsid w:val="002F64A0"/>
    <w:rsid w:val="00302C4A"/>
    <w:rsid w:val="00310316"/>
    <w:rsid w:val="0032607C"/>
    <w:rsid w:val="003827CE"/>
    <w:rsid w:val="00443556"/>
    <w:rsid w:val="00456731"/>
    <w:rsid w:val="004F6A94"/>
    <w:rsid w:val="004F7AFF"/>
    <w:rsid w:val="005D725E"/>
    <w:rsid w:val="00611A12"/>
    <w:rsid w:val="00627694"/>
    <w:rsid w:val="006C3977"/>
    <w:rsid w:val="006C6D0B"/>
    <w:rsid w:val="007A622C"/>
    <w:rsid w:val="007A6AC5"/>
    <w:rsid w:val="00837D60"/>
    <w:rsid w:val="00886E18"/>
    <w:rsid w:val="008C782C"/>
    <w:rsid w:val="008F4BAD"/>
    <w:rsid w:val="00917442"/>
    <w:rsid w:val="00986516"/>
    <w:rsid w:val="009C3FE5"/>
    <w:rsid w:val="00A30326"/>
    <w:rsid w:val="00A303C0"/>
    <w:rsid w:val="00A36724"/>
    <w:rsid w:val="00A64BCB"/>
    <w:rsid w:val="00AB4C08"/>
    <w:rsid w:val="00B16825"/>
    <w:rsid w:val="00B400D6"/>
    <w:rsid w:val="00B532D8"/>
    <w:rsid w:val="00BA16C9"/>
    <w:rsid w:val="00BE7838"/>
    <w:rsid w:val="00C0129E"/>
    <w:rsid w:val="00C050BC"/>
    <w:rsid w:val="00CA671C"/>
    <w:rsid w:val="00CB65F3"/>
    <w:rsid w:val="00D0409A"/>
    <w:rsid w:val="00DA1927"/>
    <w:rsid w:val="00DA7DF8"/>
    <w:rsid w:val="00E23AC8"/>
    <w:rsid w:val="00E87390"/>
    <w:rsid w:val="00E87CB4"/>
    <w:rsid w:val="00E952FC"/>
    <w:rsid w:val="00EC4044"/>
    <w:rsid w:val="00ED0CA1"/>
    <w:rsid w:val="00EE77E0"/>
    <w:rsid w:val="00F171AF"/>
    <w:rsid w:val="00F25B91"/>
    <w:rsid w:val="00F4033B"/>
    <w:rsid w:val="00F4636A"/>
    <w:rsid w:val="00F54BF9"/>
    <w:rsid w:val="00F85441"/>
    <w:rsid w:val="00FC796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668F2D"/>
  <w15:docId w15:val="{E0F4678E-55AE-4FD6-8B66-DE6DE6699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731"/>
    <w:pPr>
      <w:overflowPunct w:val="0"/>
      <w:autoSpaceDE w:val="0"/>
      <w:autoSpaceDN w:val="0"/>
      <w:adjustRightInd w:val="0"/>
      <w:textAlignment w:val="baseline"/>
    </w:pPr>
    <w:rPr>
      <w:rFonts w:ascii="Univers" w:hAnsi="Univers"/>
      <w:sz w:val="24"/>
    </w:rPr>
  </w:style>
  <w:style w:type="paragraph" w:styleId="Heading1">
    <w:name w:val="heading 1"/>
    <w:basedOn w:val="Normal"/>
    <w:next w:val="Normal"/>
    <w:qFormat/>
    <w:rsid w:val="00456731"/>
    <w:pPr>
      <w:keepNext/>
      <w:spacing w:before="240" w:after="60"/>
      <w:outlineLvl w:val="0"/>
    </w:pPr>
    <w:rPr>
      <w:rFonts w:ascii="Arial" w:hAnsi="Arial"/>
      <w:b/>
      <w:kern w:val="28"/>
      <w:sz w:val="28"/>
    </w:rPr>
  </w:style>
  <w:style w:type="paragraph" w:styleId="Heading2">
    <w:name w:val="heading 2"/>
    <w:basedOn w:val="Normal"/>
    <w:next w:val="Normal"/>
    <w:qFormat/>
    <w:rsid w:val="00456731"/>
    <w:pPr>
      <w:keepNext/>
      <w:spacing w:before="240" w:after="60"/>
      <w:outlineLvl w:val="1"/>
    </w:pPr>
    <w:rPr>
      <w:rFonts w:ascii="Arial" w:hAnsi="Arial"/>
      <w:b/>
      <w:i/>
    </w:rPr>
  </w:style>
  <w:style w:type="paragraph" w:styleId="Heading3">
    <w:name w:val="heading 3"/>
    <w:basedOn w:val="Normal"/>
    <w:next w:val="Normal"/>
    <w:qFormat/>
    <w:rsid w:val="00456731"/>
    <w:pPr>
      <w:keepNext/>
      <w:spacing w:before="240" w:after="60"/>
      <w:outlineLvl w:val="2"/>
    </w:pPr>
    <w:rPr>
      <w:b/>
    </w:rPr>
  </w:style>
  <w:style w:type="paragraph" w:styleId="Heading4">
    <w:name w:val="heading 4"/>
    <w:basedOn w:val="Normal"/>
    <w:next w:val="Normal"/>
    <w:qFormat/>
    <w:rsid w:val="00456731"/>
    <w:pPr>
      <w:keepNext/>
      <w:outlineLvl w:val="3"/>
    </w:pPr>
    <w:rPr>
      <w:rFonts w:ascii="Swiss 721 SWA" w:hAnsi="Swiss 721 SWA"/>
      <w:sz w:val="32"/>
    </w:rPr>
  </w:style>
  <w:style w:type="paragraph" w:styleId="Heading5">
    <w:name w:val="heading 5"/>
    <w:basedOn w:val="Normal"/>
    <w:next w:val="Normal"/>
    <w:qFormat/>
    <w:rsid w:val="00456731"/>
    <w:pPr>
      <w:keepNext/>
      <w:ind w:left="360"/>
      <w:outlineLvl w:val="4"/>
    </w:pPr>
    <w:rPr>
      <w:b/>
      <w:bCs/>
    </w:rPr>
  </w:style>
  <w:style w:type="paragraph" w:styleId="Heading6">
    <w:name w:val="heading 6"/>
    <w:basedOn w:val="Normal"/>
    <w:next w:val="Normal"/>
    <w:qFormat/>
    <w:rsid w:val="00456731"/>
    <w:pPr>
      <w:keepNext/>
      <w:jc w:val="both"/>
      <w:outlineLvl w:val="5"/>
    </w:pPr>
    <w:rPr>
      <w:b/>
      <w:bCs/>
      <w:iCs/>
    </w:rPr>
  </w:style>
  <w:style w:type="paragraph" w:styleId="Heading7">
    <w:name w:val="heading 7"/>
    <w:basedOn w:val="Normal"/>
    <w:next w:val="Normal"/>
    <w:qFormat/>
    <w:rsid w:val="00456731"/>
    <w:pPr>
      <w:keepNext/>
      <w:jc w:val="both"/>
      <w:outlineLvl w:val="6"/>
    </w:pPr>
    <w:rPr>
      <w:b/>
      <w:bCs/>
      <w:i/>
    </w:rPr>
  </w:style>
  <w:style w:type="paragraph" w:styleId="Heading8">
    <w:name w:val="heading 8"/>
    <w:basedOn w:val="Normal"/>
    <w:next w:val="Normal"/>
    <w:qFormat/>
    <w:rsid w:val="00456731"/>
    <w:pPr>
      <w:keepNext/>
      <w:numPr>
        <w:numId w:val="26"/>
      </w:numPr>
      <w:tabs>
        <w:tab w:val="left" w:pos="720"/>
        <w:tab w:val="left" w:pos="1440"/>
        <w:tab w:val="left" w:pos="2160"/>
        <w:tab w:val="left" w:pos="2880"/>
      </w:tabs>
      <w:spacing w:after="160"/>
      <w:jc w:val="both"/>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56731"/>
    <w:pPr>
      <w:framePr w:w="7920" w:h="1980" w:hRule="exact" w:hSpace="180" w:wrap="auto" w:hAnchor="page" w:xAlign="center" w:yAlign="bottom"/>
      <w:ind w:left="2880"/>
    </w:pPr>
    <w:rPr>
      <w:rFonts w:ascii="Arial" w:hAnsi="Arial"/>
      <w:b/>
      <w:sz w:val="22"/>
    </w:rPr>
  </w:style>
  <w:style w:type="paragraph" w:customStyle="1" w:styleId="wfxRecipient">
    <w:name w:val="wfxRecipient"/>
    <w:basedOn w:val="Normal"/>
    <w:rsid w:val="00456731"/>
  </w:style>
  <w:style w:type="paragraph" w:customStyle="1" w:styleId="wfxFaxNum">
    <w:name w:val="wfxFaxNum"/>
    <w:basedOn w:val="Normal"/>
    <w:rsid w:val="00456731"/>
  </w:style>
  <w:style w:type="paragraph" w:styleId="Header">
    <w:name w:val="header"/>
    <w:basedOn w:val="Normal"/>
    <w:rsid w:val="00456731"/>
    <w:pPr>
      <w:tabs>
        <w:tab w:val="center" w:pos="4320"/>
        <w:tab w:val="right" w:pos="8640"/>
      </w:tabs>
    </w:pPr>
  </w:style>
  <w:style w:type="paragraph" w:styleId="Footer">
    <w:name w:val="footer"/>
    <w:basedOn w:val="Normal"/>
    <w:rsid w:val="00456731"/>
    <w:pPr>
      <w:tabs>
        <w:tab w:val="center" w:pos="4320"/>
        <w:tab w:val="right" w:pos="8640"/>
      </w:tabs>
    </w:pPr>
  </w:style>
  <w:style w:type="character" w:styleId="PageNumber">
    <w:name w:val="page number"/>
    <w:basedOn w:val="DefaultParagraphFont"/>
    <w:rsid w:val="00456731"/>
  </w:style>
  <w:style w:type="paragraph" w:styleId="Caption">
    <w:name w:val="caption"/>
    <w:basedOn w:val="Normal"/>
    <w:next w:val="Normal"/>
    <w:qFormat/>
    <w:rsid w:val="00456731"/>
    <w:pPr>
      <w:framePr w:w="1960" w:h="725" w:hSpace="180" w:wrap="around" w:vAnchor="page" w:hAnchor="page" w:x="8782" w:y="14705"/>
      <w:shd w:val="pct75" w:color="auto" w:fill="auto"/>
      <w:tabs>
        <w:tab w:val="right" w:pos="900"/>
        <w:tab w:val="left" w:pos="990"/>
      </w:tabs>
    </w:pPr>
    <w:rPr>
      <w:rFonts w:ascii="Swiss 721 SWA" w:hAnsi="Swiss 721 SWA"/>
      <w:b/>
      <w:bCs/>
      <w:color w:val="FFFFFF"/>
      <w:sz w:val="16"/>
    </w:rPr>
  </w:style>
  <w:style w:type="paragraph" w:styleId="BodyTextIndent">
    <w:name w:val="Body Text Indent"/>
    <w:basedOn w:val="Normal"/>
    <w:rsid w:val="00456731"/>
    <w:pPr>
      <w:overflowPunct/>
      <w:autoSpaceDE/>
      <w:autoSpaceDN/>
      <w:adjustRightInd/>
      <w:ind w:left="360"/>
      <w:textAlignment w:val="auto"/>
    </w:pPr>
  </w:style>
  <w:style w:type="paragraph" w:styleId="BodyText">
    <w:name w:val="Body Text"/>
    <w:basedOn w:val="Normal"/>
    <w:rsid w:val="00456731"/>
    <w:pPr>
      <w:jc w:val="both"/>
    </w:pPr>
  </w:style>
  <w:style w:type="paragraph" w:styleId="BalloonText">
    <w:name w:val="Balloon Text"/>
    <w:basedOn w:val="Normal"/>
    <w:semiHidden/>
    <w:rsid w:val="00627694"/>
    <w:rPr>
      <w:rFonts w:ascii="Tahoma" w:hAnsi="Tahoma" w:cs="Tahoma"/>
      <w:sz w:val="16"/>
      <w:szCs w:val="16"/>
    </w:rPr>
  </w:style>
  <w:style w:type="paragraph" w:styleId="ListParagraph">
    <w:name w:val="List Paragraph"/>
    <w:basedOn w:val="Normal"/>
    <w:uiPriority w:val="34"/>
    <w:qFormat/>
    <w:rsid w:val="00C050BC"/>
    <w:pPr>
      <w:ind w:left="720"/>
    </w:pPr>
  </w:style>
  <w:style w:type="table" w:styleId="TableGrid">
    <w:name w:val="Table Grid"/>
    <w:basedOn w:val="TableNormal"/>
    <w:uiPriority w:val="59"/>
    <w:rsid w:val="002F64A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281E50"/>
    <w:pPr>
      <w:overflowPunct/>
      <w:autoSpaceDE/>
      <w:autoSpaceDN/>
      <w:adjustRightInd/>
      <w:spacing w:before="100" w:beforeAutospacing="1" w:after="100" w:afterAutospacing="1"/>
      <w:textAlignment w:val="auto"/>
    </w:pPr>
    <w:rPr>
      <w:rFonts w:ascii="Times New Roman" w:eastAsiaTheme="minorEastAsia" w:hAnsi="Times New Roman"/>
      <w:szCs w:val="24"/>
    </w:rPr>
  </w:style>
  <w:style w:type="character" w:styleId="CommentReference">
    <w:name w:val="annotation reference"/>
    <w:basedOn w:val="DefaultParagraphFont"/>
    <w:uiPriority w:val="99"/>
    <w:semiHidden/>
    <w:unhideWhenUsed/>
    <w:rsid w:val="00B400D6"/>
    <w:rPr>
      <w:sz w:val="16"/>
      <w:szCs w:val="16"/>
    </w:rPr>
  </w:style>
  <w:style w:type="paragraph" w:styleId="CommentText">
    <w:name w:val="annotation text"/>
    <w:basedOn w:val="Normal"/>
    <w:link w:val="CommentTextChar"/>
    <w:uiPriority w:val="99"/>
    <w:semiHidden/>
    <w:unhideWhenUsed/>
    <w:rsid w:val="00B400D6"/>
    <w:rPr>
      <w:sz w:val="20"/>
    </w:rPr>
  </w:style>
  <w:style w:type="character" w:customStyle="1" w:styleId="CommentTextChar">
    <w:name w:val="Comment Text Char"/>
    <w:basedOn w:val="DefaultParagraphFont"/>
    <w:link w:val="CommentText"/>
    <w:uiPriority w:val="99"/>
    <w:semiHidden/>
    <w:rsid w:val="00B400D6"/>
    <w:rPr>
      <w:rFonts w:ascii="Univers" w:hAnsi="Univers"/>
    </w:rPr>
  </w:style>
  <w:style w:type="paragraph" w:styleId="CommentSubject">
    <w:name w:val="annotation subject"/>
    <w:basedOn w:val="CommentText"/>
    <w:next w:val="CommentText"/>
    <w:link w:val="CommentSubjectChar"/>
    <w:uiPriority w:val="99"/>
    <w:semiHidden/>
    <w:unhideWhenUsed/>
    <w:rsid w:val="00B400D6"/>
    <w:rPr>
      <w:b/>
      <w:bCs/>
    </w:rPr>
  </w:style>
  <w:style w:type="character" w:customStyle="1" w:styleId="CommentSubjectChar">
    <w:name w:val="Comment Subject Char"/>
    <w:basedOn w:val="CommentTextChar"/>
    <w:link w:val="CommentSubject"/>
    <w:uiPriority w:val="99"/>
    <w:semiHidden/>
    <w:rsid w:val="00B400D6"/>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0344">
      <w:bodyDiv w:val="1"/>
      <w:marLeft w:val="0"/>
      <w:marRight w:val="0"/>
      <w:marTop w:val="0"/>
      <w:marBottom w:val="0"/>
      <w:divBdr>
        <w:top w:val="none" w:sz="0" w:space="0" w:color="auto"/>
        <w:left w:val="none" w:sz="0" w:space="0" w:color="auto"/>
        <w:bottom w:val="none" w:sz="0" w:space="0" w:color="auto"/>
        <w:right w:val="none" w:sz="0" w:space="0" w:color="auto"/>
      </w:divBdr>
    </w:div>
    <w:div w:id="135268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TTC%20Header%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TTC Header New.dot</Template>
  <TotalTime>0</TotalTime>
  <Pages>2</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Tarzana Treatment Center does not maintain an emergency medical service.  However, its employees shall nevertheless exercise reasonable care to determine whether a walk-in emergency exists, render necessary life saving first aid and shall direct the perso</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Tarzana Treatment Center does not maintain an emergency medical service.  However, its employees shall nevertheless exercise reasonable care to determine whether a walk-in emergency exists, render necessary life saving first aid and shall direct the perso</dc:title>
  <dc:creator>Denny Caro</dc:creator>
  <cp:lastModifiedBy>SLarkins</cp:lastModifiedBy>
  <cp:revision>2</cp:revision>
  <cp:lastPrinted>2012-06-12T00:47:00Z</cp:lastPrinted>
  <dcterms:created xsi:type="dcterms:W3CDTF">2017-08-11T00:03:00Z</dcterms:created>
  <dcterms:modified xsi:type="dcterms:W3CDTF">2017-08-11T00:03:00Z</dcterms:modified>
</cp:coreProperties>
</file>