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C7C5" w14:textId="2F227B7B" w:rsidR="00271412" w:rsidRPr="0050347E" w:rsidRDefault="00271412" w:rsidP="00271412">
      <w:pPr>
        <w:spacing w:after="0"/>
        <w:jc w:val="center"/>
        <w:rPr>
          <w:b/>
          <w:bCs/>
        </w:rPr>
      </w:pPr>
      <w:r w:rsidRPr="0050347E">
        <w:rPr>
          <w:b/>
          <w:bCs/>
        </w:rPr>
        <w:t>SAPC Value-Based Incentives Package</w:t>
      </w:r>
    </w:p>
    <w:p w14:paraId="24553CC9" w14:textId="10DFADD0" w:rsidR="009A7C08" w:rsidRPr="0050347E" w:rsidRDefault="00271412" w:rsidP="00271412">
      <w:pPr>
        <w:spacing w:after="0"/>
        <w:jc w:val="center"/>
        <w:rPr>
          <w:b/>
          <w:bCs/>
        </w:rPr>
      </w:pPr>
      <w:r w:rsidRPr="0050347E">
        <w:rPr>
          <w:b/>
          <w:bCs/>
        </w:rPr>
        <w:t>Building Performance and Risk Metrics (1-A)</w:t>
      </w:r>
    </w:p>
    <w:p w14:paraId="7960C049" w14:textId="3F83FB15" w:rsidR="00271412" w:rsidRPr="0050347E" w:rsidRDefault="0098247D" w:rsidP="00271412">
      <w:pPr>
        <w:jc w:val="center"/>
        <w:rPr>
          <w:b/>
          <w:bCs/>
        </w:rPr>
      </w:pPr>
      <w:r w:rsidRPr="0050347E">
        <w:rPr>
          <w:b/>
          <w:bCs/>
        </w:rPr>
        <w:t>Data Aggregation Platform Criteria</w:t>
      </w:r>
    </w:p>
    <w:p w14:paraId="7882F9DA" w14:textId="72315F45" w:rsidR="00130C6C" w:rsidRPr="0050347E" w:rsidRDefault="00271412" w:rsidP="00C762AB">
      <w:pPr>
        <w:spacing w:line="240" w:lineRule="auto"/>
      </w:pPr>
      <w:r w:rsidRPr="00AA0F0F">
        <w:rPr>
          <w:b/>
          <w:bCs/>
        </w:rPr>
        <w:t xml:space="preserve">Purpose: </w:t>
      </w:r>
      <w:r w:rsidR="00A8375C" w:rsidRPr="00AA0F0F">
        <w:t>The</w:t>
      </w:r>
      <w:r w:rsidRPr="00AA0F0F">
        <w:t xml:space="preserve"> </w:t>
      </w:r>
      <w:r w:rsidR="0098247D" w:rsidRPr="00AA0F0F">
        <w:t xml:space="preserve">checklist </w:t>
      </w:r>
      <w:r w:rsidR="00A8375C" w:rsidRPr="00AA0F0F">
        <w:t xml:space="preserve">below </w:t>
      </w:r>
      <w:r w:rsidR="00C56C6B" w:rsidRPr="00AA0F0F">
        <w:t xml:space="preserve">outlines key </w:t>
      </w:r>
      <w:r w:rsidR="00085950" w:rsidRPr="00AA0F0F">
        <w:t xml:space="preserve">features that a </w:t>
      </w:r>
      <w:r w:rsidR="0098247D" w:rsidRPr="00AA0F0F">
        <w:t>data aggregation platform</w:t>
      </w:r>
      <w:r w:rsidR="0090202C" w:rsidRPr="00AA0F0F">
        <w:t xml:space="preserve"> for this project</w:t>
      </w:r>
      <w:r w:rsidR="00085950" w:rsidRPr="00AA0F0F">
        <w:rPr>
          <w:b/>
          <w:bCs/>
        </w:rPr>
        <w:t xml:space="preserve"> </w:t>
      </w:r>
      <w:r w:rsidR="00085950" w:rsidRPr="00AA0F0F">
        <w:t>should include</w:t>
      </w:r>
      <w:r w:rsidR="0098247D" w:rsidRPr="00AA0F0F">
        <w:t xml:space="preserve">. </w:t>
      </w:r>
      <w:r w:rsidR="00DC7574" w:rsidRPr="00AA0F0F">
        <w:t>It is</w:t>
      </w:r>
      <w:r w:rsidR="00DC7574">
        <w:t xml:space="preserve"> intended to</w:t>
      </w:r>
      <w:r w:rsidR="006151F5" w:rsidRPr="0050347E">
        <w:t xml:space="preserve"> </w:t>
      </w:r>
      <w:r w:rsidR="00092306">
        <w:t>guide planning,</w:t>
      </w:r>
      <w:r w:rsidR="00092306" w:rsidRPr="0050347E">
        <w:t xml:space="preserve"> </w:t>
      </w:r>
      <w:r w:rsidR="0069001E" w:rsidRPr="0050347E">
        <w:t>decision</w:t>
      </w:r>
      <w:r w:rsidR="00F416C5">
        <w:t>-</w:t>
      </w:r>
      <w:r w:rsidR="0069001E" w:rsidRPr="0050347E">
        <w:t>making</w:t>
      </w:r>
      <w:r w:rsidR="00092306">
        <w:t xml:space="preserve">, and discussions </w:t>
      </w:r>
      <w:r w:rsidR="0069001E" w:rsidRPr="0050347E">
        <w:t xml:space="preserve">with potential platforms and/or vendors. </w:t>
      </w:r>
      <w:r w:rsidR="00BD76E7" w:rsidRPr="00BD76E7">
        <w:t>While the checklist</w:t>
      </w:r>
      <w:r w:rsidR="008D3CDA">
        <w:t xml:space="preserve"> is designed to support preparation for the Milestone</w:t>
      </w:r>
      <w:r w:rsidR="0069001E" w:rsidRPr="0050347E">
        <w:t xml:space="preserve"> </w:t>
      </w:r>
      <w:r w:rsidR="0068406D">
        <w:t xml:space="preserve">3 submission, </w:t>
      </w:r>
      <w:r w:rsidR="00BD76E7" w:rsidRPr="00BD76E7">
        <w:t>it</w:t>
      </w:r>
      <w:r w:rsidR="00506FD5">
        <w:t xml:space="preserve"> is not a deliverable on its own</w:t>
      </w:r>
      <w:r w:rsidR="00BD76E7" w:rsidRPr="00BD76E7">
        <w:t>. Additional</w:t>
      </w:r>
      <w:r w:rsidR="001C0240">
        <w:t xml:space="preserve"> guidance and instructions </w:t>
      </w:r>
      <w:r w:rsidR="00567F38">
        <w:t>for the Milestone 3 submission</w:t>
      </w:r>
      <w:r w:rsidR="00BD76E7" w:rsidRPr="00BD76E7">
        <w:t xml:space="preserve"> </w:t>
      </w:r>
      <w:r w:rsidR="001C0240">
        <w:t>will be provided</w:t>
      </w:r>
      <w:r w:rsidR="00BD76E7" w:rsidRPr="00BD76E7">
        <w:t xml:space="preserve"> at a later stage.</w:t>
      </w:r>
    </w:p>
    <w:p w14:paraId="5486AAAF" w14:textId="4104EAF3" w:rsidR="003D3169" w:rsidRPr="0050347E" w:rsidRDefault="003D3169" w:rsidP="00C762AB">
      <w:pPr>
        <w:spacing w:line="240" w:lineRule="auto"/>
      </w:pPr>
      <w:r w:rsidRPr="0050347E">
        <w:rPr>
          <w:b/>
          <w:bCs/>
        </w:rPr>
        <w:t>Note</w:t>
      </w:r>
      <w:r w:rsidRPr="0050347E">
        <w:t xml:space="preserve">: When indicated, </w:t>
      </w:r>
      <w:r w:rsidR="00CB3CDE">
        <w:t>provider</w:t>
      </w:r>
      <w:r w:rsidRPr="0050347E">
        <w:t xml:space="preserve"> agencies must </w:t>
      </w:r>
      <w:r w:rsidR="005B520B">
        <w:t>demonstrate</w:t>
      </w:r>
      <w:r w:rsidR="005B520B" w:rsidRPr="0050347E">
        <w:t xml:space="preserve"> </w:t>
      </w:r>
      <w:r w:rsidR="00212193">
        <w:t>completion or</w:t>
      </w:r>
      <w:r w:rsidR="006B20CB">
        <w:t>, at a minimum, i</w:t>
      </w:r>
      <w:r w:rsidR="00212193">
        <w:t>nitial implementation</w:t>
      </w:r>
      <w:r w:rsidR="000E6AC1">
        <w:t>,</w:t>
      </w:r>
      <w:r w:rsidRPr="0050347E">
        <w:t xml:space="preserve"> </w:t>
      </w:r>
      <w:r w:rsidR="00C762AB">
        <w:t>through</w:t>
      </w:r>
      <w:r w:rsidRPr="0050347E">
        <w:t xml:space="preserve"> </w:t>
      </w:r>
      <w:r w:rsidR="00933E68">
        <w:t>reports, screenshots,</w:t>
      </w:r>
      <w:r w:rsidRPr="0050347E">
        <w:t xml:space="preserve"> or by sharing</w:t>
      </w:r>
      <w:r w:rsidR="00981B0B" w:rsidRPr="0050347E">
        <w:t xml:space="preserve"> </w:t>
      </w:r>
      <w:r w:rsidR="008E1394" w:rsidRPr="0050347E">
        <w:t xml:space="preserve">view access </w:t>
      </w:r>
      <w:r w:rsidR="00981B0B" w:rsidRPr="0050347E">
        <w:t>directly with SAPC. This access can be revoked after SAPC review</w:t>
      </w:r>
      <w:r w:rsidR="001E62BD" w:rsidRPr="0050347E">
        <w:t xml:space="preserve"> and approval</w:t>
      </w:r>
      <w:r w:rsidR="00981B0B" w:rsidRPr="0050347E">
        <w:t>.</w:t>
      </w:r>
    </w:p>
    <w:tbl>
      <w:tblPr>
        <w:tblStyle w:val="TableGrid"/>
        <w:tblpPr w:leftFromText="180" w:rightFromText="180" w:vertAnchor="text" w:tblpX="-5" w:tblpY="1"/>
        <w:tblOverlap w:val="never"/>
        <w:tblW w:w="9360" w:type="dxa"/>
        <w:tblLook w:val="04A0" w:firstRow="1" w:lastRow="0" w:firstColumn="1" w:lastColumn="0" w:noHBand="0" w:noVBand="1"/>
      </w:tblPr>
      <w:tblGrid>
        <w:gridCol w:w="2335"/>
        <w:gridCol w:w="2340"/>
        <w:gridCol w:w="2250"/>
        <w:gridCol w:w="2435"/>
      </w:tblGrid>
      <w:tr w:rsidR="00A15C9C" w:rsidRPr="0050347E" w14:paraId="2095B479" w14:textId="77777777" w:rsidTr="00894E84">
        <w:trPr>
          <w:cantSplit/>
          <w:trHeight w:val="864"/>
        </w:trPr>
        <w:tc>
          <w:tcPr>
            <w:tcW w:w="9360" w:type="dxa"/>
            <w:gridSpan w:val="4"/>
            <w:shd w:val="clear" w:color="auto" w:fill="CAEDFB" w:themeFill="accent4" w:themeFillTint="33"/>
          </w:tcPr>
          <w:p w14:paraId="70E87321" w14:textId="74B642BE" w:rsidR="00A15C9C" w:rsidRPr="0050347E" w:rsidRDefault="005E78EB" w:rsidP="00894E84">
            <w:pPr>
              <w:rPr>
                <w:i/>
                <w:iCs/>
              </w:rPr>
            </w:pPr>
            <w:r w:rsidRPr="0050347E">
              <w:rPr>
                <w:b/>
                <w:bCs/>
                <w:sz w:val="24"/>
                <w:szCs w:val="28"/>
              </w:rPr>
              <w:t>Data Source Access</w:t>
            </w:r>
            <w:r w:rsidR="00BC190E" w:rsidRPr="0050347E">
              <w:rPr>
                <w:b/>
                <w:bCs/>
                <w:sz w:val="24"/>
                <w:szCs w:val="28"/>
              </w:rPr>
              <w:t xml:space="preserve">: </w:t>
            </w:r>
            <w:r w:rsidR="005A1F7C" w:rsidRPr="0050347E">
              <w:rPr>
                <w:szCs w:val="22"/>
              </w:rPr>
              <w:t>Please refer to your Submission 1: Data Source Inventory &amp; Baseline Metrics Collection Report</w:t>
            </w:r>
            <w:r w:rsidR="006B6F86" w:rsidRPr="0050347E">
              <w:rPr>
                <w:szCs w:val="22"/>
              </w:rPr>
              <w:t xml:space="preserve">. List all data sources needed to report on the </w:t>
            </w:r>
            <w:r w:rsidR="002F7FDB">
              <w:rPr>
                <w:szCs w:val="22"/>
              </w:rPr>
              <w:t>ten</w:t>
            </w:r>
            <w:r w:rsidR="006B6F86" w:rsidRPr="0050347E">
              <w:rPr>
                <w:szCs w:val="22"/>
              </w:rPr>
              <w:t xml:space="preserve"> PAC </w:t>
            </w:r>
            <w:r w:rsidR="00D36629" w:rsidRPr="0050347E">
              <w:rPr>
                <w:szCs w:val="22"/>
              </w:rPr>
              <w:t xml:space="preserve">metrics and </w:t>
            </w:r>
            <w:r w:rsidRPr="0050347E">
              <w:rPr>
                <w:szCs w:val="22"/>
              </w:rPr>
              <w:t>fill in the rest of the table.</w:t>
            </w:r>
            <w:r w:rsidR="00D2432B" w:rsidRPr="0050347E">
              <w:rPr>
                <w:szCs w:val="22"/>
              </w:rPr>
              <w:t xml:space="preserve"> </w:t>
            </w:r>
            <w:r w:rsidR="001E62BD" w:rsidRPr="0050347E">
              <w:rPr>
                <w:szCs w:val="22"/>
              </w:rPr>
              <w:t>P</w:t>
            </w:r>
            <w:r w:rsidR="002C1EE5" w:rsidRPr="0050347E">
              <w:rPr>
                <w:szCs w:val="22"/>
              </w:rPr>
              <w:t xml:space="preserve">rioritize </w:t>
            </w:r>
            <w:r w:rsidR="00402C9E" w:rsidRPr="0050347E">
              <w:rPr>
                <w:szCs w:val="22"/>
              </w:rPr>
              <w:t xml:space="preserve">automated </w:t>
            </w:r>
            <w:r w:rsidR="001E62BD" w:rsidRPr="0050347E">
              <w:rPr>
                <w:szCs w:val="22"/>
              </w:rPr>
              <w:t xml:space="preserve">methods </w:t>
            </w:r>
            <w:r w:rsidR="00402C9E" w:rsidRPr="0050347E">
              <w:rPr>
                <w:szCs w:val="22"/>
              </w:rPr>
              <w:t>(API, database</w:t>
            </w:r>
            <w:r w:rsidR="00162E25">
              <w:rPr>
                <w:szCs w:val="22"/>
              </w:rPr>
              <w:t>s</w:t>
            </w:r>
            <w:r w:rsidR="00402C9E" w:rsidRPr="0050347E">
              <w:rPr>
                <w:szCs w:val="22"/>
              </w:rPr>
              <w:t>) over manual</w:t>
            </w:r>
            <w:r w:rsidR="00162E25">
              <w:rPr>
                <w:szCs w:val="22"/>
              </w:rPr>
              <w:t xml:space="preserve"> methods</w:t>
            </w:r>
            <w:r w:rsidR="00402C9E" w:rsidRPr="0050347E">
              <w:rPr>
                <w:szCs w:val="22"/>
              </w:rPr>
              <w:t xml:space="preserve"> (file upload</w:t>
            </w:r>
            <w:r w:rsidR="00162E25">
              <w:rPr>
                <w:szCs w:val="22"/>
              </w:rPr>
              <w:t>s</w:t>
            </w:r>
            <w:r w:rsidR="00402C9E" w:rsidRPr="0050347E">
              <w:rPr>
                <w:szCs w:val="22"/>
              </w:rPr>
              <w:t>, manual entry) whenever possible.</w:t>
            </w:r>
            <w:r w:rsidR="007D1099" w:rsidRPr="0050347E">
              <w:rPr>
                <w:szCs w:val="22"/>
              </w:rPr>
              <w:t xml:space="preserve"> </w:t>
            </w:r>
            <w:r w:rsidR="0053172B">
              <w:rPr>
                <w:szCs w:val="22"/>
              </w:rPr>
              <w:t xml:space="preserve">Provider </w:t>
            </w:r>
            <w:r w:rsidR="00C72754">
              <w:rPr>
                <w:szCs w:val="22"/>
              </w:rPr>
              <w:t>a</w:t>
            </w:r>
            <w:r w:rsidR="007D1099" w:rsidRPr="0050347E">
              <w:rPr>
                <w:szCs w:val="22"/>
              </w:rPr>
              <w:t xml:space="preserve">gencies must provide </w:t>
            </w:r>
            <w:r w:rsidR="007D1099" w:rsidRPr="0050347E">
              <w:rPr>
                <w:b/>
                <w:bCs/>
                <w:szCs w:val="22"/>
              </w:rPr>
              <w:t xml:space="preserve">proof of </w:t>
            </w:r>
            <w:r w:rsidR="00B3351E" w:rsidRPr="0050347E">
              <w:rPr>
                <w:b/>
                <w:bCs/>
                <w:szCs w:val="22"/>
              </w:rPr>
              <w:t xml:space="preserve">access </w:t>
            </w:r>
            <w:proofErr w:type="gramStart"/>
            <w:r w:rsidR="00B3351E" w:rsidRPr="0050347E">
              <w:rPr>
                <w:b/>
                <w:bCs/>
                <w:szCs w:val="22"/>
              </w:rPr>
              <w:t>method</w:t>
            </w:r>
            <w:proofErr w:type="gramEnd"/>
            <w:r w:rsidR="001E62BD" w:rsidRPr="0050347E">
              <w:rPr>
                <w:b/>
                <w:bCs/>
                <w:szCs w:val="22"/>
              </w:rPr>
              <w:t>.</w:t>
            </w:r>
            <w:r w:rsidR="008E1394" w:rsidRPr="0050347E">
              <w:rPr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894E84" w:rsidRPr="0050347E" w14:paraId="1C9A7FB4" w14:textId="77777777" w:rsidTr="00894E84">
        <w:trPr>
          <w:cantSplit/>
          <w:trHeight w:val="864"/>
        </w:trPr>
        <w:tc>
          <w:tcPr>
            <w:tcW w:w="2335" w:type="dxa"/>
          </w:tcPr>
          <w:p w14:paraId="19D244BA" w14:textId="3B0BBBFE" w:rsidR="00A15C9C" w:rsidRPr="0050347E" w:rsidRDefault="006B6F86" w:rsidP="00894E84">
            <w:pPr>
              <w:rPr>
                <w:b/>
                <w:bCs/>
              </w:rPr>
            </w:pPr>
            <w:r w:rsidRPr="0050347E">
              <w:rPr>
                <w:b/>
                <w:bCs/>
              </w:rPr>
              <w:t>Data Source Name</w:t>
            </w:r>
          </w:p>
        </w:tc>
        <w:tc>
          <w:tcPr>
            <w:tcW w:w="2340" w:type="dxa"/>
          </w:tcPr>
          <w:p w14:paraId="32A3591B" w14:textId="1277A2E7" w:rsidR="00A15C9C" w:rsidRPr="0050347E" w:rsidRDefault="006B6F86" w:rsidP="00894E84">
            <w:pPr>
              <w:rPr>
                <w:b/>
                <w:bCs/>
              </w:rPr>
            </w:pPr>
            <w:r w:rsidRPr="0050347E">
              <w:rPr>
                <w:b/>
                <w:bCs/>
              </w:rPr>
              <w:t xml:space="preserve">Data Source Category </w:t>
            </w:r>
            <w:r w:rsidRPr="00C762AB">
              <w:t>(</w:t>
            </w:r>
            <w:r w:rsidRPr="00C762AB">
              <w:rPr>
                <w:i/>
                <w:iCs/>
              </w:rPr>
              <w:t>financial, workforce, clinical, organizational</w:t>
            </w:r>
            <w:r w:rsidRPr="00C762AB">
              <w:t>)</w:t>
            </w:r>
          </w:p>
        </w:tc>
        <w:tc>
          <w:tcPr>
            <w:tcW w:w="2250" w:type="dxa"/>
          </w:tcPr>
          <w:p w14:paraId="49C017E8" w14:textId="2A50A02D" w:rsidR="00A15C9C" w:rsidRPr="0050347E" w:rsidRDefault="00B3351E" w:rsidP="00894E84">
            <w:pPr>
              <w:rPr>
                <w:b/>
                <w:bCs/>
              </w:rPr>
            </w:pPr>
            <w:r w:rsidRPr="0050347E">
              <w:rPr>
                <w:b/>
                <w:bCs/>
              </w:rPr>
              <w:t>Data Access Method</w:t>
            </w:r>
          </w:p>
          <w:p w14:paraId="3F9E29DD" w14:textId="29F5EC3B" w:rsidR="00A15C9C" w:rsidRPr="0050347E" w:rsidRDefault="00A15C9C" w:rsidP="00894E84">
            <w:pPr>
              <w:rPr>
                <w:i/>
                <w:iCs/>
              </w:rPr>
            </w:pPr>
            <w:r w:rsidRPr="0050347E">
              <w:rPr>
                <w:i/>
                <w:iCs/>
              </w:rPr>
              <w:t xml:space="preserve">(API, </w:t>
            </w:r>
            <w:r w:rsidR="00E771CC" w:rsidRPr="0050347E">
              <w:rPr>
                <w:i/>
                <w:iCs/>
              </w:rPr>
              <w:t>database</w:t>
            </w:r>
            <w:r w:rsidR="00D2432B" w:rsidRPr="0050347E">
              <w:rPr>
                <w:i/>
                <w:iCs/>
              </w:rPr>
              <w:t>,</w:t>
            </w:r>
            <w:r w:rsidR="00E771CC" w:rsidRPr="0050347E">
              <w:rPr>
                <w:i/>
                <w:iCs/>
              </w:rPr>
              <w:t xml:space="preserve"> </w:t>
            </w:r>
            <w:r w:rsidRPr="0050347E">
              <w:rPr>
                <w:i/>
                <w:iCs/>
              </w:rPr>
              <w:t>file upload, manual entry)</w:t>
            </w:r>
          </w:p>
        </w:tc>
        <w:tc>
          <w:tcPr>
            <w:tcW w:w="2435" w:type="dxa"/>
          </w:tcPr>
          <w:p w14:paraId="31B8E0F2" w14:textId="76F88DD9" w:rsidR="00A15C9C" w:rsidRPr="0050347E" w:rsidRDefault="00A15C9C" w:rsidP="00894E84">
            <w:pPr>
              <w:rPr>
                <w:b/>
                <w:bCs/>
              </w:rPr>
            </w:pPr>
            <w:r w:rsidRPr="0050347E">
              <w:rPr>
                <w:b/>
                <w:bCs/>
              </w:rPr>
              <w:t>Notes</w:t>
            </w:r>
          </w:p>
        </w:tc>
      </w:tr>
      <w:tr w:rsidR="00894E84" w:rsidRPr="0050347E" w14:paraId="0F935224" w14:textId="77777777" w:rsidTr="00D5606D">
        <w:trPr>
          <w:trHeight w:val="64"/>
        </w:trPr>
        <w:tc>
          <w:tcPr>
            <w:tcW w:w="2335" w:type="dxa"/>
          </w:tcPr>
          <w:p w14:paraId="6E21E36C" w14:textId="50F71EAD" w:rsidR="00A15C9C" w:rsidRPr="0050347E" w:rsidRDefault="00A15C9C" w:rsidP="00894E84"/>
        </w:tc>
        <w:tc>
          <w:tcPr>
            <w:tcW w:w="2340" w:type="dxa"/>
          </w:tcPr>
          <w:p w14:paraId="251E8791" w14:textId="77777777" w:rsidR="00894E84" w:rsidRPr="0050347E" w:rsidRDefault="00894E84" w:rsidP="00894E84"/>
        </w:tc>
        <w:tc>
          <w:tcPr>
            <w:tcW w:w="2250" w:type="dxa"/>
          </w:tcPr>
          <w:p w14:paraId="1F439DB8" w14:textId="77777777" w:rsidR="00A15C9C" w:rsidRPr="0050347E" w:rsidRDefault="00A15C9C" w:rsidP="00894E84"/>
        </w:tc>
        <w:tc>
          <w:tcPr>
            <w:tcW w:w="2435" w:type="dxa"/>
          </w:tcPr>
          <w:p w14:paraId="00065FBC" w14:textId="77777777" w:rsidR="00A15C9C" w:rsidRPr="0050347E" w:rsidRDefault="00A15C9C" w:rsidP="00894E84"/>
        </w:tc>
      </w:tr>
      <w:tr w:rsidR="00894E84" w:rsidRPr="0050347E" w14:paraId="43BC420C" w14:textId="77777777" w:rsidTr="00D5606D">
        <w:trPr>
          <w:cantSplit/>
          <w:trHeight w:val="64"/>
        </w:trPr>
        <w:tc>
          <w:tcPr>
            <w:tcW w:w="2335" w:type="dxa"/>
          </w:tcPr>
          <w:p w14:paraId="219FDA9A" w14:textId="77777777" w:rsidR="00945784" w:rsidRPr="0050347E" w:rsidRDefault="00945784" w:rsidP="00894E84"/>
        </w:tc>
        <w:tc>
          <w:tcPr>
            <w:tcW w:w="2340" w:type="dxa"/>
          </w:tcPr>
          <w:p w14:paraId="0C9207F6" w14:textId="77777777" w:rsidR="00945784" w:rsidRPr="0050347E" w:rsidRDefault="00945784" w:rsidP="00894E84"/>
        </w:tc>
        <w:tc>
          <w:tcPr>
            <w:tcW w:w="2250" w:type="dxa"/>
          </w:tcPr>
          <w:p w14:paraId="59481CD1" w14:textId="77777777" w:rsidR="00945784" w:rsidRPr="0050347E" w:rsidRDefault="00945784" w:rsidP="00894E84"/>
        </w:tc>
        <w:tc>
          <w:tcPr>
            <w:tcW w:w="2435" w:type="dxa"/>
          </w:tcPr>
          <w:p w14:paraId="3E865D76" w14:textId="77777777" w:rsidR="00945784" w:rsidRPr="0050347E" w:rsidRDefault="00945784" w:rsidP="00894E84"/>
        </w:tc>
      </w:tr>
      <w:tr w:rsidR="00894E84" w:rsidRPr="0050347E" w14:paraId="1E5BA7AF" w14:textId="77777777" w:rsidTr="00D5606D">
        <w:trPr>
          <w:cantSplit/>
          <w:trHeight w:val="64"/>
        </w:trPr>
        <w:tc>
          <w:tcPr>
            <w:tcW w:w="2335" w:type="dxa"/>
          </w:tcPr>
          <w:p w14:paraId="58E1B17D" w14:textId="77777777" w:rsidR="00945784" w:rsidRPr="0050347E" w:rsidRDefault="00945784" w:rsidP="00894E84"/>
        </w:tc>
        <w:tc>
          <w:tcPr>
            <w:tcW w:w="2340" w:type="dxa"/>
          </w:tcPr>
          <w:p w14:paraId="6562E877" w14:textId="77777777" w:rsidR="00945784" w:rsidRPr="0050347E" w:rsidRDefault="00945784" w:rsidP="00894E84"/>
        </w:tc>
        <w:tc>
          <w:tcPr>
            <w:tcW w:w="2250" w:type="dxa"/>
          </w:tcPr>
          <w:p w14:paraId="1E7D1831" w14:textId="77777777" w:rsidR="00945784" w:rsidRPr="0050347E" w:rsidRDefault="00945784" w:rsidP="00894E84"/>
        </w:tc>
        <w:tc>
          <w:tcPr>
            <w:tcW w:w="2435" w:type="dxa"/>
          </w:tcPr>
          <w:p w14:paraId="4015C60D" w14:textId="77777777" w:rsidR="00945784" w:rsidRPr="0050347E" w:rsidRDefault="00945784" w:rsidP="00894E84"/>
        </w:tc>
      </w:tr>
      <w:tr w:rsidR="00894E84" w:rsidRPr="0050347E" w14:paraId="6E7F8FE4" w14:textId="77777777" w:rsidTr="00D5606D">
        <w:trPr>
          <w:cantSplit/>
          <w:trHeight w:val="64"/>
        </w:trPr>
        <w:tc>
          <w:tcPr>
            <w:tcW w:w="2335" w:type="dxa"/>
          </w:tcPr>
          <w:p w14:paraId="3D3C9893" w14:textId="77777777" w:rsidR="00945784" w:rsidRPr="0050347E" w:rsidRDefault="00945784" w:rsidP="00894E84"/>
        </w:tc>
        <w:tc>
          <w:tcPr>
            <w:tcW w:w="2340" w:type="dxa"/>
          </w:tcPr>
          <w:p w14:paraId="58B61B7D" w14:textId="77777777" w:rsidR="00945784" w:rsidRPr="0050347E" w:rsidRDefault="00945784" w:rsidP="00894E84"/>
        </w:tc>
        <w:tc>
          <w:tcPr>
            <w:tcW w:w="2250" w:type="dxa"/>
          </w:tcPr>
          <w:p w14:paraId="5D496D50" w14:textId="77777777" w:rsidR="00945784" w:rsidRPr="0050347E" w:rsidRDefault="00945784" w:rsidP="00894E84"/>
        </w:tc>
        <w:tc>
          <w:tcPr>
            <w:tcW w:w="2435" w:type="dxa"/>
          </w:tcPr>
          <w:p w14:paraId="64F38D45" w14:textId="77777777" w:rsidR="00945784" w:rsidRPr="0050347E" w:rsidRDefault="00945784" w:rsidP="00894E84"/>
        </w:tc>
      </w:tr>
      <w:tr w:rsidR="00894E84" w:rsidRPr="0050347E" w14:paraId="3B8C6CEA" w14:textId="77777777" w:rsidTr="00D5606D">
        <w:trPr>
          <w:cantSplit/>
          <w:trHeight w:val="64"/>
        </w:trPr>
        <w:tc>
          <w:tcPr>
            <w:tcW w:w="2335" w:type="dxa"/>
          </w:tcPr>
          <w:p w14:paraId="049A328F" w14:textId="77777777" w:rsidR="00945784" w:rsidRPr="0050347E" w:rsidRDefault="00945784" w:rsidP="00894E84"/>
        </w:tc>
        <w:tc>
          <w:tcPr>
            <w:tcW w:w="2340" w:type="dxa"/>
          </w:tcPr>
          <w:p w14:paraId="2A924595" w14:textId="77777777" w:rsidR="00945784" w:rsidRPr="0050347E" w:rsidRDefault="00945784" w:rsidP="00894E84"/>
        </w:tc>
        <w:tc>
          <w:tcPr>
            <w:tcW w:w="2250" w:type="dxa"/>
          </w:tcPr>
          <w:p w14:paraId="4884305B" w14:textId="77777777" w:rsidR="00945784" w:rsidRPr="0050347E" w:rsidRDefault="00945784" w:rsidP="00894E84"/>
        </w:tc>
        <w:tc>
          <w:tcPr>
            <w:tcW w:w="2435" w:type="dxa"/>
          </w:tcPr>
          <w:p w14:paraId="123FFAFD" w14:textId="77777777" w:rsidR="00945784" w:rsidRPr="0050347E" w:rsidRDefault="00945784" w:rsidP="00894E84"/>
        </w:tc>
      </w:tr>
      <w:tr w:rsidR="00894E84" w:rsidRPr="0050347E" w14:paraId="66CC0B09" w14:textId="77777777" w:rsidTr="00D5606D">
        <w:trPr>
          <w:cantSplit/>
          <w:trHeight w:val="64"/>
        </w:trPr>
        <w:tc>
          <w:tcPr>
            <w:tcW w:w="2335" w:type="dxa"/>
          </w:tcPr>
          <w:p w14:paraId="468D83EF" w14:textId="7F5F6995" w:rsidR="00BC190E" w:rsidRPr="0050347E" w:rsidRDefault="00BC190E" w:rsidP="00894E84">
            <w:pPr>
              <w:rPr>
                <w:b/>
                <w:bCs/>
                <w:i/>
                <w:iCs/>
              </w:rPr>
            </w:pPr>
            <w:r w:rsidRPr="0050347E">
              <w:rPr>
                <w:b/>
                <w:bCs/>
                <w:i/>
                <w:iCs/>
              </w:rPr>
              <w:t>[add rows as needed]</w:t>
            </w:r>
          </w:p>
        </w:tc>
        <w:tc>
          <w:tcPr>
            <w:tcW w:w="2340" w:type="dxa"/>
          </w:tcPr>
          <w:p w14:paraId="3E0B4A35" w14:textId="0A447594" w:rsidR="00BC190E" w:rsidRPr="0050347E" w:rsidRDefault="00BC190E" w:rsidP="00894E84"/>
        </w:tc>
        <w:tc>
          <w:tcPr>
            <w:tcW w:w="2250" w:type="dxa"/>
          </w:tcPr>
          <w:p w14:paraId="522A99B0" w14:textId="77777777" w:rsidR="00BC190E" w:rsidRPr="0050347E" w:rsidRDefault="00BC190E" w:rsidP="00894E84"/>
        </w:tc>
        <w:tc>
          <w:tcPr>
            <w:tcW w:w="2435" w:type="dxa"/>
          </w:tcPr>
          <w:p w14:paraId="4756C4E3" w14:textId="77777777" w:rsidR="00BC190E" w:rsidRPr="0050347E" w:rsidRDefault="00BC190E" w:rsidP="00894E84"/>
        </w:tc>
      </w:tr>
    </w:tbl>
    <w:p w14:paraId="4A31D00A" w14:textId="77777777" w:rsidR="00A15C9C" w:rsidRPr="0050347E" w:rsidRDefault="00A15C9C" w:rsidP="00A15C9C">
      <w:pPr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A15C9C" w:rsidRPr="0050347E" w14:paraId="05B0F7D1" w14:textId="77777777" w:rsidTr="00946712">
        <w:trPr>
          <w:trHeight w:val="953"/>
        </w:trPr>
        <w:tc>
          <w:tcPr>
            <w:tcW w:w="8005" w:type="dxa"/>
            <w:shd w:val="clear" w:color="auto" w:fill="CAEDFB" w:themeFill="accent4" w:themeFillTint="33"/>
          </w:tcPr>
          <w:p w14:paraId="7FB2CBF2" w14:textId="066A90E4" w:rsidR="00A15C9C" w:rsidRPr="00121B80" w:rsidRDefault="00A15C9C" w:rsidP="0098247D">
            <w:pPr>
              <w:rPr>
                <w:i/>
                <w:szCs w:val="22"/>
              </w:rPr>
            </w:pPr>
            <w:r w:rsidRPr="0050347E">
              <w:rPr>
                <w:b/>
                <w:bCs/>
                <w:sz w:val="24"/>
              </w:rPr>
              <w:t>Dashboard Features</w:t>
            </w:r>
            <w:r w:rsidR="00BC190E" w:rsidRPr="0050347E">
              <w:rPr>
                <w:b/>
                <w:bCs/>
                <w:sz w:val="24"/>
              </w:rPr>
              <w:t xml:space="preserve">: </w:t>
            </w:r>
            <w:r w:rsidR="00BC190E" w:rsidRPr="0050347E">
              <w:rPr>
                <w:szCs w:val="22"/>
              </w:rPr>
              <w:t xml:space="preserve">Core features that must be included in the </w:t>
            </w:r>
            <w:r w:rsidR="00C72754">
              <w:rPr>
                <w:szCs w:val="22"/>
              </w:rPr>
              <w:t xml:space="preserve">provider </w:t>
            </w:r>
            <w:r w:rsidR="00BC190E" w:rsidRPr="0050347E">
              <w:rPr>
                <w:szCs w:val="22"/>
              </w:rPr>
              <w:t>agency’s final dashboard.</w:t>
            </w:r>
            <w:r w:rsidR="00D517E3" w:rsidRPr="0050347E">
              <w:rPr>
                <w:i/>
                <w:iCs/>
                <w:szCs w:val="22"/>
              </w:rPr>
              <w:t xml:space="preserve"> </w:t>
            </w:r>
            <w:r w:rsidR="005721B9">
              <w:rPr>
                <w:szCs w:val="22"/>
              </w:rPr>
              <w:t>Provider a</w:t>
            </w:r>
            <w:r w:rsidR="00E2668A" w:rsidRPr="0050347E">
              <w:rPr>
                <w:szCs w:val="22"/>
              </w:rPr>
              <w:t xml:space="preserve">gencies </w:t>
            </w:r>
            <w:r w:rsidR="00E2668A" w:rsidRPr="00057FEF">
              <w:rPr>
                <w:szCs w:val="22"/>
              </w:rPr>
              <w:t xml:space="preserve">must </w:t>
            </w:r>
            <w:r w:rsidR="00BD7DD7" w:rsidRPr="00057FEF">
              <w:rPr>
                <w:szCs w:val="22"/>
              </w:rPr>
              <w:t>demonstrate</w:t>
            </w:r>
            <w:r w:rsidR="00BE2E06" w:rsidRPr="00121B80">
              <w:rPr>
                <w:szCs w:val="22"/>
              </w:rPr>
              <w:t xml:space="preserve"> </w:t>
            </w:r>
            <w:r w:rsidR="00B3351E" w:rsidRPr="00121B80">
              <w:rPr>
                <w:szCs w:val="22"/>
              </w:rPr>
              <w:t>inclusio</w:t>
            </w:r>
            <w:r w:rsidR="00BE2E06" w:rsidRPr="00121B80">
              <w:rPr>
                <w:szCs w:val="22"/>
              </w:rPr>
              <w:t>n</w:t>
            </w:r>
            <w:r w:rsidR="00E2668A" w:rsidRPr="00057FEF">
              <w:rPr>
                <w:szCs w:val="22"/>
              </w:rPr>
              <w:t xml:space="preserve"> </w:t>
            </w:r>
            <w:r w:rsidR="008947C1" w:rsidRPr="00057FEF">
              <w:rPr>
                <w:szCs w:val="22"/>
              </w:rPr>
              <w:t xml:space="preserve">of </w:t>
            </w:r>
            <w:r w:rsidR="00E2668A" w:rsidRPr="00057FEF">
              <w:rPr>
                <w:szCs w:val="22"/>
              </w:rPr>
              <w:t>each</w:t>
            </w:r>
            <w:r w:rsidR="008947C1" w:rsidRPr="00057FEF">
              <w:rPr>
                <w:szCs w:val="22"/>
              </w:rPr>
              <w:t xml:space="preserve"> feature</w:t>
            </w:r>
            <w:r w:rsidR="00D928C6" w:rsidRPr="00057FEF">
              <w:rPr>
                <w:szCs w:val="22"/>
              </w:rPr>
              <w:t>,</w:t>
            </w:r>
            <w:r w:rsidR="00E2668A" w:rsidRPr="00057FEF">
              <w:rPr>
                <w:szCs w:val="22"/>
              </w:rPr>
              <w:t xml:space="preserve"> </w:t>
            </w:r>
            <w:r w:rsidR="008E3084" w:rsidRPr="00057FEF">
              <w:rPr>
                <w:szCs w:val="22"/>
              </w:rPr>
              <w:t>or at a minimum</w:t>
            </w:r>
            <w:r w:rsidR="00EA1353" w:rsidRPr="00121B80">
              <w:rPr>
                <w:szCs w:val="22"/>
              </w:rPr>
              <w:t>, demonstrate</w:t>
            </w:r>
            <w:r w:rsidR="008E3084" w:rsidRPr="00057FEF">
              <w:rPr>
                <w:szCs w:val="22"/>
              </w:rPr>
              <w:t xml:space="preserve"> initial implementation</w:t>
            </w:r>
            <w:r w:rsidR="008E3084">
              <w:rPr>
                <w:szCs w:val="22"/>
              </w:rPr>
              <w:t xml:space="preserve"> of a da</w:t>
            </w:r>
            <w:r w:rsidR="008117CA">
              <w:rPr>
                <w:szCs w:val="22"/>
              </w:rPr>
              <w:t>shboard</w:t>
            </w:r>
            <w:r w:rsidR="00D500AB">
              <w:rPr>
                <w:szCs w:val="22"/>
              </w:rPr>
              <w:t xml:space="preserve"> </w:t>
            </w:r>
            <w:r w:rsidR="00D928C6">
              <w:rPr>
                <w:szCs w:val="22"/>
              </w:rPr>
              <w:t>capable of incorporating</w:t>
            </w:r>
            <w:r w:rsidR="00216B67">
              <w:rPr>
                <w:szCs w:val="22"/>
              </w:rPr>
              <w:t xml:space="preserve"> these features</w:t>
            </w:r>
            <w:r w:rsidR="00D3565B">
              <w:rPr>
                <w:szCs w:val="22"/>
              </w:rPr>
              <w:t xml:space="preserve">. </w:t>
            </w:r>
            <w:r w:rsidR="0068117D">
              <w:rPr>
                <w:szCs w:val="22"/>
              </w:rPr>
              <w:t>V</w:t>
            </w:r>
            <w:r w:rsidR="009F361F">
              <w:rPr>
                <w:szCs w:val="22"/>
              </w:rPr>
              <w:t>erification</w:t>
            </w:r>
            <w:r w:rsidR="0068117D">
              <w:rPr>
                <w:szCs w:val="22"/>
              </w:rPr>
              <w:t xml:space="preserve"> may be provided through</w:t>
            </w:r>
            <w:r w:rsidR="009F361F">
              <w:rPr>
                <w:szCs w:val="22"/>
              </w:rPr>
              <w:t xml:space="preserve"> s</w:t>
            </w:r>
            <w:r w:rsidR="00BE2E06" w:rsidRPr="0050347E">
              <w:rPr>
                <w:szCs w:val="22"/>
              </w:rPr>
              <w:t>creenshots</w:t>
            </w:r>
            <w:r w:rsidR="00216B67">
              <w:rPr>
                <w:szCs w:val="22"/>
              </w:rPr>
              <w:t>,</w:t>
            </w:r>
            <w:r w:rsidR="00AB403A" w:rsidRPr="0050347E">
              <w:rPr>
                <w:szCs w:val="22"/>
              </w:rPr>
              <w:t xml:space="preserve"> sharing view access directly</w:t>
            </w:r>
            <w:r w:rsidR="00236E1D" w:rsidRPr="0050347E">
              <w:rPr>
                <w:szCs w:val="22"/>
              </w:rPr>
              <w:t xml:space="preserve"> (can be revoked after SAPC review)</w:t>
            </w:r>
            <w:r w:rsidR="00216B67">
              <w:rPr>
                <w:szCs w:val="22"/>
              </w:rPr>
              <w:t xml:space="preserve">, </w:t>
            </w:r>
            <w:r w:rsidR="003910C1">
              <w:rPr>
                <w:szCs w:val="22"/>
              </w:rPr>
              <w:t xml:space="preserve">or </w:t>
            </w:r>
            <w:r w:rsidR="002A3D93">
              <w:rPr>
                <w:szCs w:val="22"/>
              </w:rPr>
              <w:t>relevant</w:t>
            </w:r>
            <w:r w:rsidR="003910C1">
              <w:rPr>
                <w:szCs w:val="22"/>
              </w:rPr>
              <w:t xml:space="preserve"> project documentation.</w:t>
            </w:r>
          </w:p>
        </w:tc>
        <w:tc>
          <w:tcPr>
            <w:tcW w:w="1345" w:type="dxa"/>
            <w:shd w:val="clear" w:color="auto" w:fill="CAEDFB" w:themeFill="accent4" w:themeFillTint="33"/>
          </w:tcPr>
          <w:p w14:paraId="09470C56" w14:textId="35CFD5F8" w:rsidR="00A15C9C" w:rsidRPr="0050347E" w:rsidRDefault="00A15C9C" w:rsidP="00A15C9C">
            <w:pPr>
              <w:jc w:val="center"/>
              <w:rPr>
                <w:b/>
                <w:bCs/>
                <w:sz w:val="24"/>
              </w:rPr>
            </w:pPr>
            <w:r w:rsidRPr="0050347E">
              <w:rPr>
                <w:b/>
                <w:bCs/>
                <w:sz w:val="24"/>
              </w:rPr>
              <w:t>Yes / No</w:t>
            </w:r>
          </w:p>
        </w:tc>
      </w:tr>
      <w:tr w:rsidR="00A15C9C" w:rsidRPr="0050347E" w14:paraId="3E2F070F" w14:textId="77777777" w:rsidTr="00A15C9C">
        <w:tc>
          <w:tcPr>
            <w:tcW w:w="8005" w:type="dxa"/>
          </w:tcPr>
          <w:p w14:paraId="711FC5B8" w14:textId="5235C1E6" w:rsidR="00A15C9C" w:rsidRPr="0050347E" w:rsidRDefault="00BC190E" w:rsidP="0098247D">
            <w:pPr>
              <w:rPr>
                <w:b/>
                <w:bCs/>
              </w:rPr>
            </w:pPr>
            <w:r w:rsidRPr="0050347E">
              <w:rPr>
                <w:b/>
                <w:bCs/>
              </w:rPr>
              <w:t>H</w:t>
            </w:r>
            <w:r w:rsidR="00A15C9C" w:rsidRPr="0050347E">
              <w:rPr>
                <w:b/>
                <w:bCs/>
              </w:rPr>
              <w:t>istorical trend</w:t>
            </w:r>
            <w:r w:rsidRPr="0050347E">
              <w:rPr>
                <w:b/>
                <w:bCs/>
              </w:rPr>
              <w:t xml:space="preserve"> </w:t>
            </w:r>
            <w:r w:rsidR="000C0720" w:rsidRPr="0050347E">
              <w:rPr>
                <w:b/>
                <w:bCs/>
              </w:rPr>
              <w:t>data</w:t>
            </w:r>
            <w:r w:rsidR="00A15C9C" w:rsidRPr="0050347E">
              <w:rPr>
                <w:b/>
                <w:bCs/>
              </w:rPr>
              <w:t xml:space="preserve"> on </w:t>
            </w:r>
            <w:r w:rsidR="00283CB4">
              <w:rPr>
                <w:b/>
                <w:bCs/>
              </w:rPr>
              <w:t>ten</w:t>
            </w:r>
            <w:r w:rsidR="00A15C9C" w:rsidRPr="0050347E">
              <w:rPr>
                <w:b/>
                <w:bCs/>
              </w:rPr>
              <w:t xml:space="preserve"> PAC Workgroup Metrics</w:t>
            </w:r>
            <w:r w:rsidR="00601FBB" w:rsidRPr="0050347E">
              <w:rPr>
                <w:b/>
                <w:bCs/>
              </w:rPr>
              <w:t>:</w:t>
            </w:r>
          </w:p>
        </w:tc>
        <w:tc>
          <w:tcPr>
            <w:tcW w:w="1345" w:type="dxa"/>
          </w:tcPr>
          <w:p w14:paraId="6AF117E8" w14:textId="77777777" w:rsidR="00A15C9C" w:rsidRPr="0050347E" w:rsidRDefault="00A15C9C" w:rsidP="0098247D"/>
        </w:tc>
      </w:tr>
      <w:tr w:rsidR="001E62BD" w:rsidRPr="0050347E" w14:paraId="173D8ACC" w14:textId="77777777" w:rsidTr="00A15C9C">
        <w:tc>
          <w:tcPr>
            <w:tcW w:w="8005" w:type="dxa"/>
          </w:tcPr>
          <w:p w14:paraId="5F833E47" w14:textId="05140CDB" w:rsidR="001E62BD" w:rsidRPr="0050347E" w:rsidRDefault="00601FBB" w:rsidP="00601FBB">
            <w:pPr>
              <w:ind w:left="341"/>
            </w:pPr>
            <w:r w:rsidRPr="0050347E">
              <w:t>Operating Costs as % of Revenue</w:t>
            </w:r>
          </w:p>
        </w:tc>
        <w:tc>
          <w:tcPr>
            <w:tcW w:w="1345" w:type="dxa"/>
          </w:tcPr>
          <w:p w14:paraId="48F918E9" w14:textId="77777777" w:rsidR="001E62BD" w:rsidRPr="0050347E" w:rsidRDefault="001E62BD" w:rsidP="0098247D"/>
        </w:tc>
      </w:tr>
      <w:tr w:rsidR="001E62BD" w:rsidRPr="0050347E" w14:paraId="33C560C0" w14:textId="77777777" w:rsidTr="00A15C9C">
        <w:tc>
          <w:tcPr>
            <w:tcW w:w="8005" w:type="dxa"/>
          </w:tcPr>
          <w:p w14:paraId="2F027A05" w14:textId="21D54C5E" w:rsidR="001E62BD" w:rsidRPr="0050347E" w:rsidRDefault="00601FBB" w:rsidP="00601FBB">
            <w:pPr>
              <w:ind w:left="341"/>
            </w:pPr>
            <w:r w:rsidRPr="0050347E">
              <w:t>Percent Increase in DMC Revenue</w:t>
            </w:r>
          </w:p>
        </w:tc>
        <w:tc>
          <w:tcPr>
            <w:tcW w:w="1345" w:type="dxa"/>
          </w:tcPr>
          <w:p w14:paraId="0D0FD75A" w14:textId="77777777" w:rsidR="001E62BD" w:rsidRPr="0050347E" w:rsidRDefault="001E62BD" w:rsidP="0098247D"/>
        </w:tc>
      </w:tr>
      <w:tr w:rsidR="001E62BD" w:rsidRPr="0050347E" w14:paraId="36E04DDB" w14:textId="77777777" w:rsidTr="00A15C9C">
        <w:tc>
          <w:tcPr>
            <w:tcW w:w="8005" w:type="dxa"/>
          </w:tcPr>
          <w:p w14:paraId="361D8369" w14:textId="67A88B29" w:rsidR="001E62BD" w:rsidRPr="0050347E" w:rsidRDefault="00601FBB" w:rsidP="00601FBB">
            <w:pPr>
              <w:ind w:left="341"/>
            </w:pPr>
            <w:r w:rsidRPr="0050347E">
              <w:t>Percent of Claim Approvals in the First Billing Cycle</w:t>
            </w:r>
          </w:p>
        </w:tc>
        <w:tc>
          <w:tcPr>
            <w:tcW w:w="1345" w:type="dxa"/>
          </w:tcPr>
          <w:p w14:paraId="25472EEF" w14:textId="77777777" w:rsidR="001E62BD" w:rsidRPr="0050347E" w:rsidRDefault="001E62BD" w:rsidP="0098247D"/>
        </w:tc>
      </w:tr>
      <w:tr w:rsidR="001E62BD" w:rsidRPr="0050347E" w14:paraId="1C5F4C07" w14:textId="77777777" w:rsidTr="00A15C9C">
        <w:tc>
          <w:tcPr>
            <w:tcW w:w="8005" w:type="dxa"/>
          </w:tcPr>
          <w:p w14:paraId="5617ABE4" w14:textId="3094970D" w:rsidR="001E62BD" w:rsidRPr="0050347E" w:rsidRDefault="00601FBB" w:rsidP="00601FBB">
            <w:pPr>
              <w:ind w:left="341"/>
            </w:pPr>
            <w:r w:rsidRPr="0050347E">
              <w:t>Cost-Per-Client</w:t>
            </w:r>
          </w:p>
        </w:tc>
        <w:tc>
          <w:tcPr>
            <w:tcW w:w="1345" w:type="dxa"/>
          </w:tcPr>
          <w:p w14:paraId="652A21CB" w14:textId="77777777" w:rsidR="001E62BD" w:rsidRPr="0050347E" w:rsidRDefault="001E62BD" w:rsidP="0098247D"/>
        </w:tc>
      </w:tr>
      <w:tr w:rsidR="001E62BD" w:rsidRPr="0050347E" w14:paraId="59403214" w14:textId="77777777" w:rsidTr="00A15C9C">
        <w:tc>
          <w:tcPr>
            <w:tcW w:w="8005" w:type="dxa"/>
          </w:tcPr>
          <w:p w14:paraId="0EF475DF" w14:textId="14AC595A" w:rsidR="001E62BD" w:rsidRPr="0050347E" w:rsidRDefault="00601FBB" w:rsidP="00601FBB">
            <w:pPr>
              <w:ind w:left="341"/>
            </w:pPr>
            <w:r w:rsidRPr="0050347E">
              <w:t>Billable Time</w:t>
            </w:r>
          </w:p>
        </w:tc>
        <w:tc>
          <w:tcPr>
            <w:tcW w:w="1345" w:type="dxa"/>
          </w:tcPr>
          <w:p w14:paraId="535AB0DF" w14:textId="77777777" w:rsidR="001E62BD" w:rsidRPr="0050347E" w:rsidRDefault="001E62BD" w:rsidP="0098247D"/>
        </w:tc>
      </w:tr>
      <w:tr w:rsidR="001E62BD" w:rsidRPr="0050347E" w14:paraId="0B5EFC5C" w14:textId="77777777" w:rsidTr="00A15C9C">
        <w:tc>
          <w:tcPr>
            <w:tcW w:w="8005" w:type="dxa"/>
          </w:tcPr>
          <w:p w14:paraId="0ECE05A8" w14:textId="3BBCDCBF" w:rsidR="001E62BD" w:rsidRPr="0050347E" w:rsidRDefault="00601FBB" w:rsidP="00601FBB">
            <w:pPr>
              <w:ind w:left="341"/>
            </w:pPr>
            <w:r w:rsidRPr="0050347E">
              <w:t>Client Retention Rate</w:t>
            </w:r>
          </w:p>
        </w:tc>
        <w:tc>
          <w:tcPr>
            <w:tcW w:w="1345" w:type="dxa"/>
          </w:tcPr>
          <w:p w14:paraId="10BBB016" w14:textId="77777777" w:rsidR="001E62BD" w:rsidRPr="0050347E" w:rsidRDefault="001E62BD" w:rsidP="0098247D"/>
        </w:tc>
      </w:tr>
      <w:tr w:rsidR="001E62BD" w:rsidRPr="0050347E" w14:paraId="714B8BD1" w14:textId="77777777" w:rsidTr="00A15C9C">
        <w:tc>
          <w:tcPr>
            <w:tcW w:w="8005" w:type="dxa"/>
          </w:tcPr>
          <w:p w14:paraId="56040A05" w14:textId="14CF6EA6" w:rsidR="001E62BD" w:rsidRPr="0050347E" w:rsidRDefault="00601FBB" w:rsidP="00601FBB">
            <w:pPr>
              <w:ind w:left="341"/>
            </w:pPr>
            <w:r w:rsidRPr="0050347E">
              <w:t>SUD Counselor to Client Ratio</w:t>
            </w:r>
          </w:p>
        </w:tc>
        <w:tc>
          <w:tcPr>
            <w:tcW w:w="1345" w:type="dxa"/>
          </w:tcPr>
          <w:p w14:paraId="74014F49" w14:textId="77777777" w:rsidR="001E62BD" w:rsidRPr="0050347E" w:rsidRDefault="001E62BD" w:rsidP="0098247D"/>
        </w:tc>
      </w:tr>
      <w:tr w:rsidR="00601FBB" w:rsidRPr="0050347E" w14:paraId="40D737C1" w14:textId="77777777" w:rsidTr="00A15C9C">
        <w:tc>
          <w:tcPr>
            <w:tcW w:w="8005" w:type="dxa"/>
          </w:tcPr>
          <w:p w14:paraId="264F2403" w14:textId="41BE1FA8" w:rsidR="00601FBB" w:rsidRPr="0050347E" w:rsidRDefault="00601FBB" w:rsidP="00601FBB">
            <w:pPr>
              <w:ind w:left="341"/>
            </w:pPr>
            <w:r w:rsidRPr="0050347E">
              <w:t>LPHA to Client Ratio</w:t>
            </w:r>
          </w:p>
        </w:tc>
        <w:tc>
          <w:tcPr>
            <w:tcW w:w="1345" w:type="dxa"/>
          </w:tcPr>
          <w:p w14:paraId="45253E63" w14:textId="77777777" w:rsidR="00601FBB" w:rsidRPr="0050347E" w:rsidRDefault="00601FBB" w:rsidP="0098247D"/>
        </w:tc>
      </w:tr>
      <w:tr w:rsidR="00601FBB" w:rsidRPr="0050347E" w14:paraId="12F45DE6" w14:textId="77777777" w:rsidTr="00A15C9C">
        <w:tc>
          <w:tcPr>
            <w:tcW w:w="8005" w:type="dxa"/>
          </w:tcPr>
          <w:p w14:paraId="1B82AE26" w14:textId="0514BA8C" w:rsidR="00601FBB" w:rsidRPr="0050347E" w:rsidRDefault="00601FBB" w:rsidP="00601FBB">
            <w:pPr>
              <w:ind w:left="341"/>
            </w:pPr>
            <w:r w:rsidRPr="0050347E">
              <w:t>Staff Retention by Role Type</w:t>
            </w:r>
          </w:p>
        </w:tc>
        <w:tc>
          <w:tcPr>
            <w:tcW w:w="1345" w:type="dxa"/>
          </w:tcPr>
          <w:p w14:paraId="7F5FA2C5" w14:textId="77777777" w:rsidR="00601FBB" w:rsidRPr="0050347E" w:rsidRDefault="00601FBB" w:rsidP="0098247D"/>
        </w:tc>
      </w:tr>
      <w:tr w:rsidR="00601FBB" w:rsidRPr="0050347E" w14:paraId="553D0129" w14:textId="77777777" w:rsidTr="00A15C9C">
        <w:tc>
          <w:tcPr>
            <w:tcW w:w="8005" w:type="dxa"/>
          </w:tcPr>
          <w:p w14:paraId="43C2FD9F" w14:textId="78CA93D8" w:rsidR="00601FBB" w:rsidRPr="0050347E" w:rsidRDefault="00601FBB" w:rsidP="00601FBB">
            <w:pPr>
              <w:ind w:left="341"/>
            </w:pPr>
            <w:r w:rsidRPr="0050347E">
              <w:t>No-Show Rates for Intake Appointments</w:t>
            </w:r>
          </w:p>
        </w:tc>
        <w:tc>
          <w:tcPr>
            <w:tcW w:w="1345" w:type="dxa"/>
          </w:tcPr>
          <w:p w14:paraId="2A889807" w14:textId="77777777" w:rsidR="00601FBB" w:rsidRPr="0050347E" w:rsidRDefault="00601FBB" w:rsidP="0098247D"/>
        </w:tc>
      </w:tr>
      <w:tr w:rsidR="007A46C0" w:rsidRPr="0050347E" w14:paraId="3C10E9BD" w14:textId="77777777" w:rsidTr="00A15C9C">
        <w:tc>
          <w:tcPr>
            <w:tcW w:w="8005" w:type="dxa"/>
          </w:tcPr>
          <w:p w14:paraId="43EAF13A" w14:textId="735C7DD3" w:rsidR="007A46C0" w:rsidRPr="0050347E" w:rsidRDefault="007A46C0" w:rsidP="007A46C0">
            <w:r w:rsidRPr="0050347E">
              <w:t xml:space="preserve">Displays all </w:t>
            </w:r>
            <w:r w:rsidR="00614359">
              <w:t>ten</w:t>
            </w:r>
            <w:r w:rsidRPr="0050347E">
              <w:t xml:space="preserve"> metrics in one dashboard view</w:t>
            </w:r>
          </w:p>
        </w:tc>
        <w:tc>
          <w:tcPr>
            <w:tcW w:w="1345" w:type="dxa"/>
          </w:tcPr>
          <w:p w14:paraId="27351FC7" w14:textId="77777777" w:rsidR="007A46C0" w:rsidRPr="0050347E" w:rsidRDefault="007A46C0" w:rsidP="007A46C0"/>
        </w:tc>
      </w:tr>
      <w:tr w:rsidR="007A46C0" w:rsidRPr="0050347E" w14:paraId="2DADD5CD" w14:textId="77777777" w:rsidTr="00A15C9C">
        <w:tc>
          <w:tcPr>
            <w:tcW w:w="8005" w:type="dxa"/>
          </w:tcPr>
          <w:p w14:paraId="3A71F4EB" w14:textId="51F8DCB5" w:rsidR="007A46C0" w:rsidRPr="0050347E" w:rsidRDefault="007A46C0" w:rsidP="007A46C0">
            <w:pPr>
              <w:rPr>
                <w:b/>
                <w:bCs/>
              </w:rPr>
            </w:pPr>
            <w:r w:rsidRPr="0050347E">
              <w:rPr>
                <w:b/>
                <w:bCs/>
              </w:rPr>
              <w:t>Drill-down capabilities:</w:t>
            </w:r>
          </w:p>
        </w:tc>
        <w:tc>
          <w:tcPr>
            <w:tcW w:w="1345" w:type="dxa"/>
          </w:tcPr>
          <w:p w14:paraId="40CDAE8B" w14:textId="77777777" w:rsidR="007A46C0" w:rsidRPr="0050347E" w:rsidRDefault="007A46C0" w:rsidP="007A46C0"/>
        </w:tc>
      </w:tr>
      <w:tr w:rsidR="007A46C0" w:rsidRPr="0050347E" w14:paraId="0E9520AC" w14:textId="77777777" w:rsidTr="00A15C9C">
        <w:tc>
          <w:tcPr>
            <w:tcW w:w="8005" w:type="dxa"/>
          </w:tcPr>
          <w:p w14:paraId="359824B0" w14:textId="3164D78F" w:rsidR="007A46C0" w:rsidRPr="0050347E" w:rsidRDefault="007A46C0" w:rsidP="007A46C0">
            <w:pPr>
              <w:ind w:left="431"/>
            </w:pPr>
            <w:r w:rsidRPr="0050347E">
              <w:t>Level of Care</w:t>
            </w:r>
          </w:p>
        </w:tc>
        <w:tc>
          <w:tcPr>
            <w:tcW w:w="1345" w:type="dxa"/>
          </w:tcPr>
          <w:p w14:paraId="28C45246" w14:textId="77777777" w:rsidR="007A46C0" w:rsidRPr="0050347E" w:rsidRDefault="007A46C0" w:rsidP="007A46C0"/>
        </w:tc>
      </w:tr>
      <w:tr w:rsidR="007A46C0" w:rsidRPr="0050347E" w14:paraId="2977714C" w14:textId="77777777" w:rsidTr="00A15C9C">
        <w:tc>
          <w:tcPr>
            <w:tcW w:w="8005" w:type="dxa"/>
          </w:tcPr>
          <w:p w14:paraId="2897D16D" w14:textId="24C05C10" w:rsidR="007A46C0" w:rsidRPr="0050347E" w:rsidRDefault="007A46C0" w:rsidP="007A46C0">
            <w:pPr>
              <w:ind w:left="431"/>
            </w:pPr>
            <w:r w:rsidRPr="0050347E">
              <w:lastRenderedPageBreak/>
              <w:t>Site</w:t>
            </w:r>
          </w:p>
        </w:tc>
        <w:tc>
          <w:tcPr>
            <w:tcW w:w="1345" w:type="dxa"/>
          </w:tcPr>
          <w:p w14:paraId="634A038F" w14:textId="77777777" w:rsidR="007A46C0" w:rsidRPr="0050347E" w:rsidRDefault="007A46C0" w:rsidP="007A46C0"/>
        </w:tc>
      </w:tr>
      <w:tr w:rsidR="007A46C0" w:rsidRPr="0050347E" w14:paraId="2EAF47A1" w14:textId="77777777" w:rsidTr="00A15C9C">
        <w:tc>
          <w:tcPr>
            <w:tcW w:w="8005" w:type="dxa"/>
          </w:tcPr>
          <w:p w14:paraId="66423D1C" w14:textId="08CC4E52" w:rsidR="007A46C0" w:rsidRPr="0050347E" w:rsidRDefault="007A46C0" w:rsidP="007A46C0">
            <w:pPr>
              <w:ind w:left="431"/>
            </w:pPr>
            <w:r w:rsidRPr="0050347E">
              <w:t xml:space="preserve">Patient </w:t>
            </w:r>
            <w:r w:rsidR="00F3289C" w:rsidRPr="0050347E">
              <w:t>demographics (</w:t>
            </w:r>
            <w:r w:rsidR="0050347E">
              <w:t xml:space="preserve">gender, age, </w:t>
            </w:r>
            <w:r w:rsidR="006B7708">
              <w:t>insurance coverage)</w:t>
            </w:r>
          </w:p>
        </w:tc>
        <w:tc>
          <w:tcPr>
            <w:tcW w:w="1345" w:type="dxa"/>
          </w:tcPr>
          <w:p w14:paraId="162F4679" w14:textId="77777777" w:rsidR="007A46C0" w:rsidRPr="0050347E" w:rsidRDefault="007A46C0" w:rsidP="007A46C0"/>
        </w:tc>
      </w:tr>
      <w:tr w:rsidR="007A46C0" w:rsidRPr="0050347E" w14:paraId="2D76D020" w14:textId="77777777" w:rsidTr="00A15C9C">
        <w:tc>
          <w:tcPr>
            <w:tcW w:w="8005" w:type="dxa"/>
          </w:tcPr>
          <w:p w14:paraId="155BC3C2" w14:textId="585759F1" w:rsidR="007A46C0" w:rsidRPr="0050347E" w:rsidRDefault="007A46C0" w:rsidP="007A46C0">
            <w:pPr>
              <w:ind w:left="431"/>
            </w:pPr>
            <w:r w:rsidRPr="0050347E">
              <w:t>Contract/program</w:t>
            </w:r>
          </w:p>
        </w:tc>
        <w:tc>
          <w:tcPr>
            <w:tcW w:w="1345" w:type="dxa"/>
          </w:tcPr>
          <w:p w14:paraId="7C719BE6" w14:textId="77777777" w:rsidR="007A46C0" w:rsidRPr="0050347E" w:rsidRDefault="007A46C0" w:rsidP="007A46C0"/>
        </w:tc>
      </w:tr>
      <w:tr w:rsidR="007A46C0" w:rsidRPr="0050347E" w14:paraId="50D8067F" w14:textId="77777777" w:rsidTr="00A15C9C">
        <w:tc>
          <w:tcPr>
            <w:tcW w:w="8005" w:type="dxa"/>
          </w:tcPr>
          <w:p w14:paraId="45DAD376" w14:textId="311FD29D" w:rsidR="007A46C0" w:rsidRPr="0050347E" w:rsidRDefault="007A46C0" w:rsidP="007A46C0">
            <w:r w:rsidRPr="0050347E">
              <w:t>Ability to download or export reports and dashboards</w:t>
            </w:r>
          </w:p>
        </w:tc>
        <w:tc>
          <w:tcPr>
            <w:tcW w:w="1345" w:type="dxa"/>
          </w:tcPr>
          <w:p w14:paraId="76EF2E81" w14:textId="77777777" w:rsidR="007A46C0" w:rsidRPr="0050347E" w:rsidRDefault="007A46C0" w:rsidP="007A46C0"/>
        </w:tc>
      </w:tr>
      <w:tr w:rsidR="007A46C0" w:rsidRPr="0050347E" w14:paraId="6AB093A6" w14:textId="77777777" w:rsidTr="005F3CD7">
        <w:trPr>
          <w:trHeight w:val="296"/>
        </w:trPr>
        <w:tc>
          <w:tcPr>
            <w:tcW w:w="8005" w:type="dxa"/>
            <w:shd w:val="clear" w:color="auto" w:fill="C1E4F5" w:themeFill="accent1" w:themeFillTint="33"/>
          </w:tcPr>
          <w:p w14:paraId="42E6ED64" w14:textId="54CD43A4" w:rsidR="007A46C0" w:rsidRPr="0050347E" w:rsidRDefault="007A46C0" w:rsidP="007A46C0">
            <w:pPr>
              <w:rPr>
                <w:sz w:val="24"/>
              </w:rPr>
            </w:pPr>
            <w:r w:rsidRPr="0050347E">
              <w:rPr>
                <w:b/>
                <w:bCs/>
                <w:sz w:val="24"/>
              </w:rPr>
              <w:t xml:space="preserve">Additional Features: </w:t>
            </w:r>
            <w:r w:rsidRPr="003D699B">
              <w:rPr>
                <w:szCs w:val="22"/>
              </w:rPr>
              <w:t>Not required for completion of the incentive</w:t>
            </w:r>
          </w:p>
        </w:tc>
        <w:tc>
          <w:tcPr>
            <w:tcW w:w="1345" w:type="dxa"/>
            <w:shd w:val="clear" w:color="auto" w:fill="C1E4F5" w:themeFill="accent1" w:themeFillTint="33"/>
          </w:tcPr>
          <w:p w14:paraId="302DDE29" w14:textId="0197EB0E" w:rsidR="007A46C0" w:rsidRPr="0050347E" w:rsidRDefault="007A46C0" w:rsidP="007A46C0">
            <w:pPr>
              <w:jc w:val="center"/>
              <w:rPr>
                <w:sz w:val="24"/>
              </w:rPr>
            </w:pPr>
            <w:r w:rsidRPr="0050347E">
              <w:rPr>
                <w:b/>
                <w:bCs/>
                <w:sz w:val="24"/>
              </w:rPr>
              <w:t>Yes / No</w:t>
            </w:r>
          </w:p>
        </w:tc>
      </w:tr>
      <w:tr w:rsidR="007A46C0" w:rsidRPr="0050347E" w14:paraId="134FE50B" w14:textId="77777777" w:rsidTr="00A15C9C">
        <w:tc>
          <w:tcPr>
            <w:tcW w:w="8005" w:type="dxa"/>
          </w:tcPr>
          <w:p w14:paraId="131D2F75" w14:textId="13735604" w:rsidR="007A46C0" w:rsidRPr="0050347E" w:rsidRDefault="009505BD" w:rsidP="007A46C0">
            <w:r>
              <w:t xml:space="preserve">Incorporates </w:t>
            </w:r>
            <w:r w:rsidR="006309E5">
              <w:t xml:space="preserve">data from </w:t>
            </w:r>
            <w:r w:rsidR="00290263">
              <w:t xml:space="preserve">provider </w:t>
            </w:r>
            <w:r w:rsidR="007A46C0" w:rsidRPr="0050347E">
              <w:t>agency’s</w:t>
            </w:r>
            <w:r w:rsidR="0080411F">
              <w:t xml:space="preserve"> </w:t>
            </w:r>
            <w:r w:rsidR="001B7D0E">
              <w:t>non-</w:t>
            </w:r>
            <w:r w:rsidR="007A46C0" w:rsidRPr="0050347E">
              <w:t>DMC-ODS program</w:t>
            </w:r>
            <w:r w:rsidR="001B7D0E">
              <w:t>s</w:t>
            </w:r>
          </w:p>
        </w:tc>
        <w:tc>
          <w:tcPr>
            <w:tcW w:w="1345" w:type="dxa"/>
          </w:tcPr>
          <w:p w14:paraId="61B26169" w14:textId="77777777" w:rsidR="007A46C0" w:rsidRPr="0050347E" w:rsidRDefault="007A46C0" w:rsidP="007A46C0"/>
        </w:tc>
      </w:tr>
      <w:tr w:rsidR="007A46C0" w:rsidRPr="0050347E" w14:paraId="2FA5FFD1" w14:textId="77777777" w:rsidTr="00A15C9C">
        <w:tc>
          <w:tcPr>
            <w:tcW w:w="8005" w:type="dxa"/>
          </w:tcPr>
          <w:p w14:paraId="686FA8F7" w14:textId="6435CA3B" w:rsidR="00DB5E11" w:rsidRPr="0050347E" w:rsidRDefault="00117ADD" w:rsidP="007A46C0">
            <w:r>
              <w:t>Other reporting. Please describe below.</w:t>
            </w:r>
          </w:p>
        </w:tc>
        <w:tc>
          <w:tcPr>
            <w:tcW w:w="1345" w:type="dxa"/>
          </w:tcPr>
          <w:p w14:paraId="1EB20CE9" w14:textId="77777777" w:rsidR="007A46C0" w:rsidRPr="0050347E" w:rsidRDefault="007A46C0" w:rsidP="007A46C0"/>
        </w:tc>
      </w:tr>
    </w:tbl>
    <w:p w14:paraId="5E79B4F6" w14:textId="77777777" w:rsidR="00A15C9C" w:rsidRPr="0050347E" w:rsidRDefault="00A15C9C" w:rsidP="00A15C9C">
      <w:pPr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A15C9C" w:rsidRPr="0050347E" w14:paraId="3577A1D8" w14:textId="77777777" w:rsidTr="00A15C9C">
        <w:tc>
          <w:tcPr>
            <w:tcW w:w="8005" w:type="dxa"/>
            <w:shd w:val="clear" w:color="auto" w:fill="CAEDFB" w:themeFill="accent4" w:themeFillTint="33"/>
          </w:tcPr>
          <w:p w14:paraId="76F2E1B4" w14:textId="77777777" w:rsidR="006634F3" w:rsidRDefault="00A15C9C">
            <w:pPr>
              <w:rPr>
                <w:szCs w:val="22"/>
              </w:rPr>
            </w:pPr>
            <w:r w:rsidRPr="0050347E">
              <w:rPr>
                <w:b/>
                <w:bCs/>
                <w:sz w:val="24"/>
              </w:rPr>
              <w:t>Implementation Plan Criteria</w:t>
            </w:r>
            <w:r w:rsidR="00BC190E" w:rsidRPr="0050347E">
              <w:rPr>
                <w:b/>
                <w:bCs/>
                <w:sz w:val="24"/>
              </w:rPr>
              <w:t xml:space="preserve">: </w:t>
            </w:r>
            <w:r w:rsidR="00BC190E" w:rsidRPr="00C762AB">
              <w:rPr>
                <w:szCs w:val="22"/>
              </w:rPr>
              <w:t>Items that must be documented in the agency’s implementation plan.</w:t>
            </w:r>
            <w:r w:rsidR="00444615">
              <w:rPr>
                <w:szCs w:val="22"/>
              </w:rPr>
              <w:t xml:space="preserve"> </w:t>
            </w:r>
          </w:p>
          <w:p w14:paraId="585D04E2" w14:textId="77777777" w:rsidR="006634F3" w:rsidRDefault="006634F3">
            <w:pPr>
              <w:rPr>
                <w:szCs w:val="22"/>
              </w:rPr>
            </w:pPr>
          </w:p>
          <w:p w14:paraId="0EFC5712" w14:textId="67576E2F" w:rsidR="00A15C9C" w:rsidRPr="00561B3B" w:rsidRDefault="002443ED" w:rsidP="00561B3B">
            <w:pPr>
              <w:rPr>
                <w:i/>
                <w:iCs/>
                <w:sz w:val="24"/>
              </w:rPr>
            </w:pPr>
            <w:r w:rsidRPr="006E2114">
              <w:rPr>
                <w:b/>
                <w:bCs/>
                <w:szCs w:val="22"/>
              </w:rPr>
              <w:t xml:space="preserve">For </w:t>
            </w:r>
            <w:r w:rsidR="00177638" w:rsidRPr="006E2114">
              <w:rPr>
                <w:b/>
                <w:bCs/>
                <w:szCs w:val="22"/>
              </w:rPr>
              <w:t xml:space="preserve">provider </w:t>
            </w:r>
            <w:r w:rsidRPr="006E2114">
              <w:rPr>
                <w:b/>
                <w:bCs/>
                <w:szCs w:val="22"/>
              </w:rPr>
              <w:t>agencies that have already implemented a data aggregation platform</w:t>
            </w:r>
            <w:r w:rsidRPr="00561B3B">
              <w:rPr>
                <w:szCs w:val="22"/>
              </w:rPr>
              <w:t>, provide a</w:t>
            </w:r>
            <w:r w:rsidR="004813C7" w:rsidRPr="00561B3B">
              <w:rPr>
                <w:szCs w:val="22"/>
              </w:rPr>
              <w:t>n “implementation summary” that addresses the below criteria.</w:t>
            </w:r>
          </w:p>
        </w:tc>
        <w:tc>
          <w:tcPr>
            <w:tcW w:w="1345" w:type="dxa"/>
            <w:shd w:val="clear" w:color="auto" w:fill="CAEDFB" w:themeFill="accent4" w:themeFillTint="33"/>
          </w:tcPr>
          <w:p w14:paraId="01A51733" w14:textId="77777777" w:rsidR="00A15C9C" w:rsidRPr="0050347E" w:rsidRDefault="00A15C9C">
            <w:pPr>
              <w:jc w:val="center"/>
              <w:rPr>
                <w:b/>
                <w:bCs/>
                <w:sz w:val="24"/>
              </w:rPr>
            </w:pPr>
            <w:r w:rsidRPr="0050347E">
              <w:rPr>
                <w:b/>
                <w:bCs/>
                <w:sz w:val="24"/>
              </w:rPr>
              <w:t>Yes / No</w:t>
            </w:r>
          </w:p>
        </w:tc>
      </w:tr>
      <w:tr w:rsidR="00CA6584" w:rsidRPr="0050347E" w14:paraId="6ECBADD3" w14:textId="77777777">
        <w:tc>
          <w:tcPr>
            <w:tcW w:w="8005" w:type="dxa"/>
          </w:tcPr>
          <w:p w14:paraId="23CCE8A1" w14:textId="5D4D8F85" w:rsidR="00CA6584" w:rsidRPr="0050347E" w:rsidRDefault="00CA6584">
            <w:r w:rsidRPr="0050347E">
              <w:t xml:space="preserve">Purpose statement </w:t>
            </w:r>
          </w:p>
        </w:tc>
        <w:tc>
          <w:tcPr>
            <w:tcW w:w="1345" w:type="dxa"/>
          </w:tcPr>
          <w:p w14:paraId="07053B96" w14:textId="77777777" w:rsidR="00CA6584" w:rsidRPr="0050347E" w:rsidRDefault="00CA6584"/>
        </w:tc>
      </w:tr>
      <w:tr w:rsidR="00A15C9C" w:rsidRPr="0050347E" w14:paraId="4E0A276E" w14:textId="77777777">
        <w:tc>
          <w:tcPr>
            <w:tcW w:w="8005" w:type="dxa"/>
          </w:tcPr>
          <w:p w14:paraId="62E77B49" w14:textId="6F981613" w:rsidR="00A15C9C" w:rsidRPr="0050347E" w:rsidRDefault="00BC190E">
            <w:r w:rsidRPr="0050347E">
              <w:t>Dashboard owner(s), including roles and responsibilities</w:t>
            </w:r>
          </w:p>
        </w:tc>
        <w:tc>
          <w:tcPr>
            <w:tcW w:w="1345" w:type="dxa"/>
          </w:tcPr>
          <w:p w14:paraId="65717E60" w14:textId="77777777" w:rsidR="00A15C9C" w:rsidRPr="0050347E" w:rsidRDefault="00A15C9C"/>
        </w:tc>
      </w:tr>
      <w:tr w:rsidR="00A15C9C" w:rsidRPr="0050347E" w14:paraId="4F64C49B" w14:textId="77777777">
        <w:tc>
          <w:tcPr>
            <w:tcW w:w="8005" w:type="dxa"/>
          </w:tcPr>
          <w:p w14:paraId="769778C8" w14:textId="155DD81B" w:rsidR="00A15C9C" w:rsidRPr="0050347E" w:rsidRDefault="00BC190E">
            <w:r w:rsidRPr="0050347E">
              <w:t>Dashboard management, update, and troubleshooting workflows</w:t>
            </w:r>
          </w:p>
        </w:tc>
        <w:tc>
          <w:tcPr>
            <w:tcW w:w="1345" w:type="dxa"/>
          </w:tcPr>
          <w:p w14:paraId="2C0177FC" w14:textId="77777777" w:rsidR="00A15C9C" w:rsidRPr="0050347E" w:rsidRDefault="00A15C9C"/>
        </w:tc>
      </w:tr>
      <w:tr w:rsidR="00CA6584" w:rsidRPr="0050347E" w14:paraId="67A4BDC7" w14:textId="77777777">
        <w:tc>
          <w:tcPr>
            <w:tcW w:w="8005" w:type="dxa"/>
          </w:tcPr>
          <w:p w14:paraId="238C33B4" w14:textId="77777777" w:rsidR="00A35403" w:rsidRDefault="00CA6584">
            <w:r w:rsidRPr="0050347E">
              <w:t>Implementation timeline, including go-live date</w:t>
            </w:r>
            <w:r w:rsidR="00A35403">
              <w:t xml:space="preserve"> </w:t>
            </w:r>
          </w:p>
          <w:p w14:paraId="1A9BAEAF" w14:textId="648225B6" w:rsidR="00CA6584" w:rsidRPr="0050347E" w:rsidRDefault="00A35403">
            <w:r w:rsidRPr="00A35403">
              <w:rPr>
                <w:i/>
                <w:iCs/>
              </w:rPr>
              <w:t>(go-live date must be 3/31/26 or earlier to receive the full incentive</w:t>
            </w:r>
            <w:r>
              <w:rPr>
                <w:i/>
                <w:iCs/>
              </w:rPr>
              <w:t xml:space="preserve"> payment</w:t>
            </w:r>
            <w:r w:rsidRPr="00A35403">
              <w:rPr>
                <w:i/>
                <w:iCs/>
              </w:rPr>
              <w:t>)</w:t>
            </w:r>
          </w:p>
        </w:tc>
        <w:tc>
          <w:tcPr>
            <w:tcW w:w="1345" w:type="dxa"/>
          </w:tcPr>
          <w:p w14:paraId="61893435" w14:textId="77777777" w:rsidR="00CA6584" w:rsidRPr="0050347E" w:rsidRDefault="00CA6584"/>
        </w:tc>
      </w:tr>
      <w:tr w:rsidR="000C0720" w:rsidRPr="0050347E" w14:paraId="3EE8ED2F" w14:textId="77777777">
        <w:tc>
          <w:tcPr>
            <w:tcW w:w="8005" w:type="dxa"/>
          </w:tcPr>
          <w:p w14:paraId="0BE2312E" w14:textId="0058A031" w:rsidR="000C0720" w:rsidRPr="0050347E" w:rsidRDefault="000C0720" w:rsidP="000C0720">
            <w:r w:rsidRPr="0050347E">
              <w:t xml:space="preserve">Incorporation of dashboard(s) in </w:t>
            </w:r>
            <w:r w:rsidR="00D979A0">
              <w:t xml:space="preserve">provider </w:t>
            </w:r>
            <w:r w:rsidRPr="0050347E">
              <w:t>agency reporting and/or strategic meetings</w:t>
            </w:r>
          </w:p>
        </w:tc>
        <w:tc>
          <w:tcPr>
            <w:tcW w:w="1345" w:type="dxa"/>
          </w:tcPr>
          <w:p w14:paraId="7F857BBD" w14:textId="77777777" w:rsidR="000C0720" w:rsidRPr="0050347E" w:rsidRDefault="000C0720" w:rsidP="000C0720"/>
        </w:tc>
      </w:tr>
      <w:tr w:rsidR="000C0720" w:rsidRPr="0050347E" w14:paraId="48F3FB95" w14:textId="77777777">
        <w:tc>
          <w:tcPr>
            <w:tcW w:w="8005" w:type="dxa"/>
          </w:tcPr>
          <w:p w14:paraId="2D1261CE" w14:textId="2DE1D558" w:rsidR="000C0720" w:rsidRPr="0050347E" w:rsidRDefault="005F5CE2" w:rsidP="000C0720">
            <w:r w:rsidRPr="0050347E">
              <w:t xml:space="preserve">Proof of </w:t>
            </w:r>
            <w:r w:rsidR="00BA7277">
              <w:t>p</w:t>
            </w:r>
            <w:r w:rsidRPr="0050347E">
              <w:t>urchase</w:t>
            </w:r>
          </w:p>
        </w:tc>
        <w:tc>
          <w:tcPr>
            <w:tcW w:w="1345" w:type="dxa"/>
          </w:tcPr>
          <w:p w14:paraId="353EE56B" w14:textId="77777777" w:rsidR="000C0720" w:rsidRPr="0050347E" w:rsidRDefault="000C0720" w:rsidP="000C0720"/>
        </w:tc>
      </w:tr>
      <w:tr w:rsidR="000C0720" w:rsidRPr="0050347E" w14:paraId="135CECDE" w14:textId="77777777">
        <w:tc>
          <w:tcPr>
            <w:tcW w:w="8005" w:type="dxa"/>
          </w:tcPr>
          <w:p w14:paraId="5307686E" w14:textId="2DC77FDF" w:rsidR="000C0720" w:rsidRPr="0050347E" w:rsidRDefault="005F5CE2" w:rsidP="000C0720">
            <w:r w:rsidRPr="0050347E">
              <w:t>Summary of implementation costs</w:t>
            </w:r>
          </w:p>
        </w:tc>
        <w:tc>
          <w:tcPr>
            <w:tcW w:w="1345" w:type="dxa"/>
          </w:tcPr>
          <w:p w14:paraId="5E3E33FA" w14:textId="77777777" w:rsidR="000C0720" w:rsidRPr="0050347E" w:rsidRDefault="000C0720" w:rsidP="000C0720"/>
        </w:tc>
      </w:tr>
      <w:tr w:rsidR="000C0720" w:rsidRPr="0050347E" w14:paraId="11212349" w14:textId="77777777">
        <w:tc>
          <w:tcPr>
            <w:tcW w:w="8005" w:type="dxa"/>
          </w:tcPr>
          <w:p w14:paraId="6EF7BB77" w14:textId="5182FB2E" w:rsidR="000C0720" w:rsidRPr="0050347E" w:rsidRDefault="00545373" w:rsidP="000C0720">
            <w:r w:rsidRPr="0050347E">
              <w:t>Summary of projected maintenance costs</w:t>
            </w:r>
          </w:p>
        </w:tc>
        <w:tc>
          <w:tcPr>
            <w:tcW w:w="1345" w:type="dxa"/>
          </w:tcPr>
          <w:p w14:paraId="30DFB4A0" w14:textId="77777777" w:rsidR="000C0720" w:rsidRPr="0050347E" w:rsidRDefault="000C0720" w:rsidP="000C0720"/>
        </w:tc>
      </w:tr>
    </w:tbl>
    <w:p w14:paraId="5D33A41A" w14:textId="0B1475C0" w:rsidR="006A6F75" w:rsidRPr="0050347E" w:rsidRDefault="006A6F75" w:rsidP="0098247D"/>
    <w:sectPr w:rsidR="006A6F75" w:rsidRPr="005034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6990" w14:textId="77777777" w:rsidR="00E47740" w:rsidRPr="0050347E" w:rsidRDefault="00E47740" w:rsidP="006B36C8">
      <w:pPr>
        <w:spacing w:after="0" w:line="240" w:lineRule="auto"/>
      </w:pPr>
      <w:r w:rsidRPr="0050347E">
        <w:separator/>
      </w:r>
    </w:p>
  </w:endnote>
  <w:endnote w:type="continuationSeparator" w:id="0">
    <w:p w14:paraId="3D8BD4AA" w14:textId="77777777" w:rsidR="00E47740" w:rsidRPr="0050347E" w:rsidRDefault="00E47740" w:rsidP="006B36C8">
      <w:pPr>
        <w:spacing w:after="0" w:line="240" w:lineRule="auto"/>
      </w:pPr>
      <w:r w:rsidRPr="0050347E">
        <w:continuationSeparator/>
      </w:r>
    </w:p>
  </w:endnote>
  <w:endnote w:type="continuationNotice" w:id="1">
    <w:p w14:paraId="6139AB11" w14:textId="77777777" w:rsidR="00E47740" w:rsidRPr="0050347E" w:rsidRDefault="00E47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BC7F" w14:textId="50A34636" w:rsidR="006B36C8" w:rsidRPr="0050347E" w:rsidRDefault="006B36C8" w:rsidP="006B36C8">
    <w:pPr>
      <w:pStyle w:val="Footer"/>
      <w:jc w:val="right"/>
    </w:pPr>
    <w:r w:rsidRPr="0050347E">
      <w:rPr>
        <w:noProof/>
      </w:rPr>
      <w:drawing>
        <wp:anchor distT="0" distB="0" distL="114300" distR="114300" simplePos="0" relativeHeight="251658241" behindDoc="0" locked="0" layoutInCell="1" allowOverlap="1" wp14:anchorId="7D670994" wp14:editId="5F7068D2">
          <wp:simplePos x="0" y="0"/>
          <wp:positionH relativeFrom="margin">
            <wp:align>left</wp:align>
          </wp:positionH>
          <wp:positionV relativeFrom="paragraph">
            <wp:posOffset>-294138</wp:posOffset>
          </wp:positionV>
          <wp:extent cx="1616075" cy="654685"/>
          <wp:effectExtent l="0" t="0" r="3175" b="0"/>
          <wp:wrapThrough wrapText="bothSides">
            <wp:wrapPolygon edited="0">
              <wp:start x="3055" y="0"/>
              <wp:lineTo x="1273" y="3143"/>
              <wp:lineTo x="0" y="7542"/>
              <wp:lineTo x="255" y="13827"/>
              <wp:lineTo x="2037" y="18855"/>
              <wp:lineTo x="3055" y="20113"/>
              <wp:lineTo x="21388" y="20113"/>
              <wp:lineTo x="21388" y="18227"/>
              <wp:lineTo x="18332" y="14456"/>
              <wp:lineTo x="15277" y="11313"/>
              <wp:lineTo x="15786" y="8171"/>
              <wp:lineTo x="14004" y="6285"/>
              <wp:lineTo x="5602" y="0"/>
              <wp:lineTo x="3055" y="0"/>
            </wp:wrapPolygon>
          </wp:wrapThrough>
          <wp:docPr id="10" name="Picture 9" descr="A logo with blue and green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02CB48F-333D-E011-9355-070C8F8227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with blue and green text&#10;&#10;AI-generated content may be incorrect.">
                    <a:extLst>
                      <a:ext uri="{FF2B5EF4-FFF2-40B4-BE49-F238E27FC236}">
                        <a16:creationId xmlns:a16="http://schemas.microsoft.com/office/drawing/2014/main" id="{902CB48F-333D-E011-9355-070C8F8227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4" t="15152" r="7455" b="14141"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654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47E">
      <w:rPr>
        <w:noProof/>
      </w:rPr>
      <w:drawing>
        <wp:anchor distT="0" distB="0" distL="114300" distR="114300" simplePos="0" relativeHeight="251658240" behindDoc="0" locked="0" layoutInCell="1" allowOverlap="1" wp14:anchorId="286D02CF" wp14:editId="50735E53">
          <wp:simplePos x="0" y="0"/>
          <wp:positionH relativeFrom="margin">
            <wp:align>right</wp:align>
          </wp:positionH>
          <wp:positionV relativeFrom="paragraph">
            <wp:posOffset>-296959</wp:posOffset>
          </wp:positionV>
          <wp:extent cx="2066290" cy="562610"/>
          <wp:effectExtent l="0" t="0" r="0" b="8890"/>
          <wp:wrapThrough wrapText="bothSides">
            <wp:wrapPolygon edited="0">
              <wp:start x="2191" y="731"/>
              <wp:lineTo x="1195" y="5120"/>
              <wp:lineTo x="597" y="9508"/>
              <wp:lineTo x="597" y="13896"/>
              <wp:lineTo x="1991" y="19747"/>
              <wp:lineTo x="2191" y="21210"/>
              <wp:lineTo x="9160" y="21210"/>
              <wp:lineTo x="20711" y="16090"/>
              <wp:lineTo x="20910" y="7314"/>
              <wp:lineTo x="18520" y="5851"/>
              <wp:lineTo x="4580" y="731"/>
              <wp:lineTo x="2191" y="731"/>
            </wp:wrapPolygon>
          </wp:wrapThrough>
          <wp:docPr id="7" name="Picture 6" descr="A close up of a cloc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00B6C44-D806-4026-4612-0AC5AACC6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close up of a clock&#10;&#10;Description automatically generated">
                    <a:extLst>
                      <a:ext uri="{FF2B5EF4-FFF2-40B4-BE49-F238E27FC236}">
                        <a16:creationId xmlns:a16="http://schemas.microsoft.com/office/drawing/2014/main" id="{400B6C44-D806-4026-4612-0AC5AACC68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73"/>
                  <a:stretch/>
                </pic:blipFill>
                <pic:spPr>
                  <a:xfrm>
                    <a:off x="0" y="0"/>
                    <a:ext cx="206629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47E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4314" w14:textId="77777777" w:rsidR="00E47740" w:rsidRPr="0050347E" w:rsidRDefault="00E47740" w:rsidP="006B36C8">
      <w:pPr>
        <w:spacing w:after="0" w:line="240" w:lineRule="auto"/>
      </w:pPr>
      <w:r w:rsidRPr="0050347E">
        <w:separator/>
      </w:r>
    </w:p>
  </w:footnote>
  <w:footnote w:type="continuationSeparator" w:id="0">
    <w:p w14:paraId="431357D4" w14:textId="77777777" w:rsidR="00E47740" w:rsidRPr="0050347E" w:rsidRDefault="00E47740" w:rsidP="006B36C8">
      <w:pPr>
        <w:spacing w:after="0" w:line="240" w:lineRule="auto"/>
      </w:pPr>
      <w:r w:rsidRPr="0050347E">
        <w:continuationSeparator/>
      </w:r>
    </w:p>
  </w:footnote>
  <w:footnote w:type="continuationNotice" w:id="1">
    <w:p w14:paraId="71DA33E7" w14:textId="77777777" w:rsidR="00E47740" w:rsidRPr="0050347E" w:rsidRDefault="00E477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1E3B"/>
    <w:multiLevelType w:val="hybridMultilevel"/>
    <w:tmpl w:val="FC8C4B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9C2C63"/>
    <w:multiLevelType w:val="hybridMultilevel"/>
    <w:tmpl w:val="0B0C447E"/>
    <w:lvl w:ilvl="0" w:tplc="F8C64B94">
      <w:start w:val="1"/>
      <w:numFmt w:val="decimal"/>
      <w:lvlText w:val="%1."/>
      <w:lvlJc w:val="left"/>
      <w:pPr>
        <w:ind w:left="1020" w:hanging="360"/>
      </w:pPr>
    </w:lvl>
    <w:lvl w:ilvl="1" w:tplc="D188C792">
      <w:start w:val="1"/>
      <w:numFmt w:val="decimal"/>
      <w:lvlText w:val="%2."/>
      <w:lvlJc w:val="left"/>
      <w:pPr>
        <w:ind w:left="1020" w:hanging="360"/>
      </w:pPr>
    </w:lvl>
    <w:lvl w:ilvl="2" w:tplc="D3FE5F22">
      <w:start w:val="1"/>
      <w:numFmt w:val="decimal"/>
      <w:lvlText w:val="%3."/>
      <w:lvlJc w:val="left"/>
      <w:pPr>
        <w:ind w:left="1020" w:hanging="360"/>
      </w:pPr>
    </w:lvl>
    <w:lvl w:ilvl="3" w:tplc="01544B9A">
      <w:start w:val="1"/>
      <w:numFmt w:val="decimal"/>
      <w:lvlText w:val="%4."/>
      <w:lvlJc w:val="left"/>
      <w:pPr>
        <w:ind w:left="1020" w:hanging="360"/>
      </w:pPr>
    </w:lvl>
    <w:lvl w:ilvl="4" w:tplc="E506B402">
      <w:start w:val="1"/>
      <w:numFmt w:val="decimal"/>
      <w:lvlText w:val="%5."/>
      <w:lvlJc w:val="left"/>
      <w:pPr>
        <w:ind w:left="1020" w:hanging="360"/>
      </w:pPr>
    </w:lvl>
    <w:lvl w:ilvl="5" w:tplc="433226E6">
      <w:start w:val="1"/>
      <w:numFmt w:val="decimal"/>
      <w:lvlText w:val="%6."/>
      <w:lvlJc w:val="left"/>
      <w:pPr>
        <w:ind w:left="1020" w:hanging="360"/>
      </w:pPr>
    </w:lvl>
    <w:lvl w:ilvl="6" w:tplc="B8EA801A">
      <w:start w:val="1"/>
      <w:numFmt w:val="decimal"/>
      <w:lvlText w:val="%7."/>
      <w:lvlJc w:val="left"/>
      <w:pPr>
        <w:ind w:left="1020" w:hanging="360"/>
      </w:pPr>
    </w:lvl>
    <w:lvl w:ilvl="7" w:tplc="E0B64B76">
      <w:start w:val="1"/>
      <w:numFmt w:val="decimal"/>
      <w:lvlText w:val="%8."/>
      <w:lvlJc w:val="left"/>
      <w:pPr>
        <w:ind w:left="1020" w:hanging="360"/>
      </w:pPr>
    </w:lvl>
    <w:lvl w:ilvl="8" w:tplc="53D445B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1540671"/>
    <w:multiLevelType w:val="multilevel"/>
    <w:tmpl w:val="904A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34DB5"/>
    <w:multiLevelType w:val="hybridMultilevel"/>
    <w:tmpl w:val="AAB8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92FE4"/>
    <w:multiLevelType w:val="hybridMultilevel"/>
    <w:tmpl w:val="3410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72AC"/>
    <w:multiLevelType w:val="hybridMultilevel"/>
    <w:tmpl w:val="07F8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7901">
    <w:abstractNumId w:val="5"/>
  </w:num>
  <w:num w:numId="2" w16cid:durableId="1207139836">
    <w:abstractNumId w:val="4"/>
  </w:num>
  <w:num w:numId="3" w16cid:durableId="1662464767">
    <w:abstractNumId w:val="3"/>
  </w:num>
  <w:num w:numId="4" w16cid:durableId="1097603725">
    <w:abstractNumId w:val="1"/>
  </w:num>
  <w:num w:numId="5" w16cid:durableId="1436289783">
    <w:abstractNumId w:val="2"/>
  </w:num>
  <w:num w:numId="6" w16cid:durableId="155538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12"/>
    <w:rsid w:val="00005924"/>
    <w:rsid w:val="000100C4"/>
    <w:rsid w:val="00036A97"/>
    <w:rsid w:val="00043028"/>
    <w:rsid w:val="0005473E"/>
    <w:rsid w:val="00057FEF"/>
    <w:rsid w:val="00070F41"/>
    <w:rsid w:val="00085950"/>
    <w:rsid w:val="00091FA9"/>
    <w:rsid w:val="00092306"/>
    <w:rsid w:val="00093B6C"/>
    <w:rsid w:val="0009514B"/>
    <w:rsid w:val="000A7300"/>
    <w:rsid w:val="000C0720"/>
    <w:rsid w:val="000C15C5"/>
    <w:rsid w:val="000C5645"/>
    <w:rsid w:val="000D3272"/>
    <w:rsid w:val="000E6AC1"/>
    <w:rsid w:val="000F62EC"/>
    <w:rsid w:val="00100774"/>
    <w:rsid w:val="00107D82"/>
    <w:rsid w:val="00117ADD"/>
    <w:rsid w:val="00121B80"/>
    <w:rsid w:val="001236E9"/>
    <w:rsid w:val="00130C6C"/>
    <w:rsid w:val="00141C09"/>
    <w:rsid w:val="00146AE6"/>
    <w:rsid w:val="001500FB"/>
    <w:rsid w:val="00154BCF"/>
    <w:rsid w:val="00162E25"/>
    <w:rsid w:val="001663E6"/>
    <w:rsid w:val="00177638"/>
    <w:rsid w:val="001821DD"/>
    <w:rsid w:val="00183D85"/>
    <w:rsid w:val="001974B4"/>
    <w:rsid w:val="001A4A08"/>
    <w:rsid w:val="001A5E85"/>
    <w:rsid w:val="001B331F"/>
    <w:rsid w:val="001B7D0E"/>
    <w:rsid w:val="001C0240"/>
    <w:rsid w:val="001C26BF"/>
    <w:rsid w:val="001D41C9"/>
    <w:rsid w:val="001E2B4D"/>
    <w:rsid w:val="001E5C31"/>
    <w:rsid w:val="001E62BD"/>
    <w:rsid w:val="001E6ABE"/>
    <w:rsid w:val="001F509B"/>
    <w:rsid w:val="002049DD"/>
    <w:rsid w:val="00205E92"/>
    <w:rsid w:val="00212193"/>
    <w:rsid w:val="00214FCD"/>
    <w:rsid w:val="00216B67"/>
    <w:rsid w:val="00223CC0"/>
    <w:rsid w:val="00236E1D"/>
    <w:rsid w:val="002443ED"/>
    <w:rsid w:val="00250716"/>
    <w:rsid w:val="00266E27"/>
    <w:rsid w:val="00271412"/>
    <w:rsid w:val="00274542"/>
    <w:rsid w:val="00283CB4"/>
    <w:rsid w:val="00290263"/>
    <w:rsid w:val="00292F1D"/>
    <w:rsid w:val="00294137"/>
    <w:rsid w:val="0029629C"/>
    <w:rsid w:val="002A3D93"/>
    <w:rsid w:val="002C1EE5"/>
    <w:rsid w:val="002C79ED"/>
    <w:rsid w:val="002E3EFA"/>
    <w:rsid w:val="002F7FDB"/>
    <w:rsid w:val="00320321"/>
    <w:rsid w:val="00332056"/>
    <w:rsid w:val="003323D5"/>
    <w:rsid w:val="00341CF5"/>
    <w:rsid w:val="0035047F"/>
    <w:rsid w:val="00351BF0"/>
    <w:rsid w:val="00375E86"/>
    <w:rsid w:val="00384C68"/>
    <w:rsid w:val="0039071B"/>
    <w:rsid w:val="003910C1"/>
    <w:rsid w:val="003A3719"/>
    <w:rsid w:val="003A6A01"/>
    <w:rsid w:val="003A7E5D"/>
    <w:rsid w:val="003B4AAD"/>
    <w:rsid w:val="003C19A3"/>
    <w:rsid w:val="003D2E5D"/>
    <w:rsid w:val="003D3169"/>
    <w:rsid w:val="003D334B"/>
    <w:rsid w:val="003D699B"/>
    <w:rsid w:val="003E7A3A"/>
    <w:rsid w:val="003F2188"/>
    <w:rsid w:val="0040089B"/>
    <w:rsid w:val="00402C9E"/>
    <w:rsid w:val="0040755E"/>
    <w:rsid w:val="00413700"/>
    <w:rsid w:val="00430FBE"/>
    <w:rsid w:val="004349D4"/>
    <w:rsid w:val="004378F1"/>
    <w:rsid w:val="00440997"/>
    <w:rsid w:val="00441779"/>
    <w:rsid w:val="00444615"/>
    <w:rsid w:val="00447F5A"/>
    <w:rsid w:val="00452507"/>
    <w:rsid w:val="00476534"/>
    <w:rsid w:val="00476EC2"/>
    <w:rsid w:val="004813C7"/>
    <w:rsid w:val="00483B2E"/>
    <w:rsid w:val="00496B31"/>
    <w:rsid w:val="004A1F04"/>
    <w:rsid w:val="004B220A"/>
    <w:rsid w:val="004B370F"/>
    <w:rsid w:val="004B70F0"/>
    <w:rsid w:val="004F473B"/>
    <w:rsid w:val="004F543A"/>
    <w:rsid w:val="0050347E"/>
    <w:rsid w:val="0050616D"/>
    <w:rsid w:val="00506FD5"/>
    <w:rsid w:val="00510DAE"/>
    <w:rsid w:val="00516382"/>
    <w:rsid w:val="00531569"/>
    <w:rsid w:val="0053172B"/>
    <w:rsid w:val="005335AA"/>
    <w:rsid w:val="00545373"/>
    <w:rsid w:val="00557F91"/>
    <w:rsid w:val="00561B3B"/>
    <w:rsid w:val="00564DB0"/>
    <w:rsid w:val="00567F38"/>
    <w:rsid w:val="0057202F"/>
    <w:rsid w:val="005721B9"/>
    <w:rsid w:val="00577193"/>
    <w:rsid w:val="00587185"/>
    <w:rsid w:val="00590720"/>
    <w:rsid w:val="00591E23"/>
    <w:rsid w:val="00592D92"/>
    <w:rsid w:val="005A1F7C"/>
    <w:rsid w:val="005A4D4F"/>
    <w:rsid w:val="005B520B"/>
    <w:rsid w:val="005B5331"/>
    <w:rsid w:val="005C1A94"/>
    <w:rsid w:val="005E645B"/>
    <w:rsid w:val="005E78EB"/>
    <w:rsid w:val="005F090F"/>
    <w:rsid w:val="005F3CD7"/>
    <w:rsid w:val="005F524B"/>
    <w:rsid w:val="005F5CE2"/>
    <w:rsid w:val="006017D6"/>
    <w:rsid w:val="00601FBB"/>
    <w:rsid w:val="00614359"/>
    <w:rsid w:val="006151F5"/>
    <w:rsid w:val="006178EC"/>
    <w:rsid w:val="006239AB"/>
    <w:rsid w:val="006309E5"/>
    <w:rsid w:val="00631A39"/>
    <w:rsid w:val="00651300"/>
    <w:rsid w:val="00651EA2"/>
    <w:rsid w:val="0066071B"/>
    <w:rsid w:val="006634F3"/>
    <w:rsid w:val="006661A5"/>
    <w:rsid w:val="00667559"/>
    <w:rsid w:val="006678B0"/>
    <w:rsid w:val="00675D44"/>
    <w:rsid w:val="00677CA0"/>
    <w:rsid w:val="0068117D"/>
    <w:rsid w:val="0068406D"/>
    <w:rsid w:val="0069001E"/>
    <w:rsid w:val="00692D33"/>
    <w:rsid w:val="006A6F75"/>
    <w:rsid w:val="006B20CB"/>
    <w:rsid w:val="006B36C8"/>
    <w:rsid w:val="006B6F86"/>
    <w:rsid w:val="006B7708"/>
    <w:rsid w:val="006D184F"/>
    <w:rsid w:val="006E2114"/>
    <w:rsid w:val="006E4484"/>
    <w:rsid w:val="006F6498"/>
    <w:rsid w:val="00701E3D"/>
    <w:rsid w:val="0071040E"/>
    <w:rsid w:val="007137F2"/>
    <w:rsid w:val="00714E4E"/>
    <w:rsid w:val="0072327D"/>
    <w:rsid w:val="007257E5"/>
    <w:rsid w:val="00744C14"/>
    <w:rsid w:val="00754C75"/>
    <w:rsid w:val="00756F10"/>
    <w:rsid w:val="00761F4A"/>
    <w:rsid w:val="007816FD"/>
    <w:rsid w:val="0078577A"/>
    <w:rsid w:val="0079432B"/>
    <w:rsid w:val="007A3713"/>
    <w:rsid w:val="007A46C0"/>
    <w:rsid w:val="007B0BC5"/>
    <w:rsid w:val="007D1099"/>
    <w:rsid w:val="007D5DF2"/>
    <w:rsid w:val="007E7316"/>
    <w:rsid w:val="007F6C2A"/>
    <w:rsid w:val="0080411F"/>
    <w:rsid w:val="008117CA"/>
    <w:rsid w:val="00824A72"/>
    <w:rsid w:val="0084630F"/>
    <w:rsid w:val="00852612"/>
    <w:rsid w:val="0086253F"/>
    <w:rsid w:val="0088517E"/>
    <w:rsid w:val="00892BC4"/>
    <w:rsid w:val="008947C1"/>
    <w:rsid w:val="00894E84"/>
    <w:rsid w:val="008A333E"/>
    <w:rsid w:val="008A4D8E"/>
    <w:rsid w:val="008A5985"/>
    <w:rsid w:val="008B78FE"/>
    <w:rsid w:val="008C5A41"/>
    <w:rsid w:val="008D363C"/>
    <w:rsid w:val="008D3CDA"/>
    <w:rsid w:val="008D7561"/>
    <w:rsid w:val="008E1072"/>
    <w:rsid w:val="008E1394"/>
    <w:rsid w:val="008E3084"/>
    <w:rsid w:val="008F304A"/>
    <w:rsid w:val="008F4364"/>
    <w:rsid w:val="00901B43"/>
    <w:rsid w:val="0090202C"/>
    <w:rsid w:val="00921CD8"/>
    <w:rsid w:val="00933E68"/>
    <w:rsid w:val="009410B5"/>
    <w:rsid w:val="00941EE0"/>
    <w:rsid w:val="00945784"/>
    <w:rsid w:val="00946712"/>
    <w:rsid w:val="009505BD"/>
    <w:rsid w:val="00954322"/>
    <w:rsid w:val="0095564D"/>
    <w:rsid w:val="00961108"/>
    <w:rsid w:val="00981B0B"/>
    <w:rsid w:val="0098247D"/>
    <w:rsid w:val="00990D7C"/>
    <w:rsid w:val="009A7C08"/>
    <w:rsid w:val="009B5504"/>
    <w:rsid w:val="009B6B81"/>
    <w:rsid w:val="009B7AFD"/>
    <w:rsid w:val="009C0769"/>
    <w:rsid w:val="009F0A08"/>
    <w:rsid w:val="009F1654"/>
    <w:rsid w:val="009F361F"/>
    <w:rsid w:val="00A15C9C"/>
    <w:rsid w:val="00A1674A"/>
    <w:rsid w:val="00A27A3B"/>
    <w:rsid w:val="00A30D9C"/>
    <w:rsid w:val="00A33FE3"/>
    <w:rsid w:val="00A35403"/>
    <w:rsid w:val="00A42CBE"/>
    <w:rsid w:val="00A522B9"/>
    <w:rsid w:val="00A6370E"/>
    <w:rsid w:val="00A63ECC"/>
    <w:rsid w:val="00A669FC"/>
    <w:rsid w:val="00A8375C"/>
    <w:rsid w:val="00A95114"/>
    <w:rsid w:val="00AA0F0F"/>
    <w:rsid w:val="00AB31E1"/>
    <w:rsid w:val="00AB403A"/>
    <w:rsid w:val="00AC1D6D"/>
    <w:rsid w:val="00AC1F68"/>
    <w:rsid w:val="00AC6B34"/>
    <w:rsid w:val="00AE2B6A"/>
    <w:rsid w:val="00AE53F8"/>
    <w:rsid w:val="00AF0076"/>
    <w:rsid w:val="00AF5DF0"/>
    <w:rsid w:val="00B00008"/>
    <w:rsid w:val="00B02D12"/>
    <w:rsid w:val="00B10AB7"/>
    <w:rsid w:val="00B14356"/>
    <w:rsid w:val="00B14B58"/>
    <w:rsid w:val="00B3351E"/>
    <w:rsid w:val="00B35ABB"/>
    <w:rsid w:val="00B50937"/>
    <w:rsid w:val="00B6635B"/>
    <w:rsid w:val="00B75F6E"/>
    <w:rsid w:val="00B96E58"/>
    <w:rsid w:val="00BA7277"/>
    <w:rsid w:val="00BB454B"/>
    <w:rsid w:val="00BC190E"/>
    <w:rsid w:val="00BD0B2E"/>
    <w:rsid w:val="00BD4611"/>
    <w:rsid w:val="00BD76E7"/>
    <w:rsid w:val="00BD7DD7"/>
    <w:rsid w:val="00BE2E06"/>
    <w:rsid w:val="00BE7606"/>
    <w:rsid w:val="00BF460B"/>
    <w:rsid w:val="00C01D91"/>
    <w:rsid w:val="00C02761"/>
    <w:rsid w:val="00C04F7D"/>
    <w:rsid w:val="00C121EB"/>
    <w:rsid w:val="00C22235"/>
    <w:rsid w:val="00C233D8"/>
    <w:rsid w:val="00C262E9"/>
    <w:rsid w:val="00C45085"/>
    <w:rsid w:val="00C56C6B"/>
    <w:rsid w:val="00C72754"/>
    <w:rsid w:val="00C733CE"/>
    <w:rsid w:val="00C762AB"/>
    <w:rsid w:val="00C83518"/>
    <w:rsid w:val="00CA0769"/>
    <w:rsid w:val="00CA5DAC"/>
    <w:rsid w:val="00CA6584"/>
    <w:rsid w:val="00CB3CDE"/>
    <w:rsid w:val="00CB7C27"/>
    <w:rsid w:val="00CC7A37"/>
    <w:rsid w:val="00CD4783"/>
    <w:rsid w:val="00CD716E"/>
    <w:rsid w:val="00CE04D1"/>
    <w:rsid w:val="00CE1034"/>
    <w:rsid w:val="00CF0F4E"/>
    <w:rsid w:val="00CF6A75"/>
    <w:rsid w:val="00D16F8E"/>
    <w:rsid w:val="00D173F6"/>
    <w:rsid w:val="00D2432B"/>
    <w:rsid w:val="00D30796"/>
    <w:rsid w:val="00D311A6"/>
    <w:rsid w:val="00D32AA6"/>
    <w:rsid w:val="00D3565B"/>
    <w:rsid w:val="00D36629"/>
    <w:rsid w:val="00D4425A"/>
    <w:rsid w:val="00D4708D"/>
    <w:rsid w:val="00D500AB"/>
    <w:rsid w:val="00D517E3"/>
    <w:rsid w:val="00D5606D"/>
    <w:rsid w:val="00D628CC"/>
    <w:rsid w:val="00D70F67"/>
    <w:rsid w:val="00D77B6E"/>
    <w:rsid w:val="00D80689"/>
    <w:rsid w:val="00D84CC6"/>
    <w:rsid w:val="00D9116A"/>
    <w:rsid w:val="00D928C6"/>
    <w:rsid w:val="00D936E3"/>
    <w:rsid w:val="00D94D44"/>
    <w:rsid w:val="00D979A0"/>
    <w:rsid w:val="00DA142B"/>
    <w:rsid w:val="00DA1988"/>
    <w:rsid w:val="00DB0617"/>
    <w:rsid w:val="00DB5E11"/>
    <w:rsid w:val="00DC13CF"/>
    <w:rsid w:val="00DC35B0"/>
    <w:rsid w:val="00DC5C75"/>
    <w:rsid w:val="00DC7574"/>
    <w:rsid w:val="00DD7BCD"/>
    <w:rsid w:val="00DD7EE4"/>
    <w:rsid w:val="00DE2132"/>
    <w:rsid w:val="00DF7B50"/>
    <w:rsid w:val="00E052CD"/>
    <w:rsid w:val="00E15E48"/>
    <w:rsid w:val="00E2436C"/>
    <w:rsid w:val="00E2668A"/>
    <w:rsid w:val="00E27030"/>
    <w:rsid w:val="00E317F9"/>
    <w:rsid w:val="00E440F7"/>
    <w:rsid w:val="00E47740"/>
    <w:rsid w:val="00E51F0F"/>
    <w:rsid w:val="00E579BC"/>
    <w:rsid w:val="00E70D4C"/>
    <w:rsid w:val="00E771CC"/>
    <w:rsid w:val="00E82D33"/>
    <w:rsid w:val="00E8416C"/>
    <w:rsid w:val="00EA1353"/>
    <w:rsid w:val="00EC0055"/>
    <w:rsid w:val="00EC175E"/>
    <w:rsid w:val="00EC266A"/>
    <w:rsid w:val="00EC4B72"/>
    <w:rsid w:val="00EE2111"/>
    <w:rsid w:val="00EF7ADE"/>
    <w:rsid w:val="00F116DB"/>
    <w:rsid w:val="00F17298"/>
    <w:rsid w:val="00F21120"/>
    <w:rsid w:val="00F25B4F"/>
    <w:rsid w:val="00F3110A"/>
    <w:rsid w:val="00F3289C"/>
    <w:rsid w:val="00F416C5"/>
    <w:rsid w:val="00F62787"/>
    <w:rsid w:val="00F67DA3"/>
    <w:rsid w:val="00F758F9"/>
    <w:rsid w:val="00F856FD"/>
    <w:rsid w:val="00F877D1"/>
    <w:rsid w:val="00F93FD1"/>
    <w:rsid w:val="00F97806"/>
    <w:rsid w:val="00FA1944"/>
    <w:rsid w:val="00FC0440"/>
    <w:rsid w:val="00FC34BA"/>
    <w:rsid w:val="00FC52E9"/>
    <w:rsid w:val="00FC54A2"/>
    <w:rsid w:val="00FD3C4C"/>
    <w:rsid w:val="00FD4049"/>
    <w:rsid w:val="00FE2E13"/>
    <w:rsid w:val="00FF1952"/>
    <w:rsid w:val="00FF37F9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22849"/>
  <w15:chartTrackingRefBased/>
  <w15:docId w15:val="{6E56F200-7A06-4997-90B1-35E577D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C8"/>
  </w:style>
  <w:style w:type="paragraph" w:styleId="Footer">
    <w:name w:val="footer"/>
    <w:basedOn w:val="Normal"/>
    <w:link w:val="FooterChar"/>
    <w:uiPriority w:val="99"/>
    <w:unhideWhenUsed/>
    <w:rsid w:val="006B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C8"/>
  </w:style>
  <w:style w:type="table" w:styleId="TableGrid">
    <w:name w:val="Table Grid"/>
    <w:basedOn w:val="TableNormal"/>
    <w:uiPriority w:val="39"/>
    <w:rsid w:val="006B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6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1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3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2C486C77F2243857E8151508DEBCC" ma:contentTypeVersion="3" ma:contentTypeDescription="Create a new document." ma:contentTypeScope="" ma:versionID="9915e46199746312a84ea1146a4cf652">
  <xsd:schema xmlns:xsd="http://www.w3.org/2001/XMLSchema" xmlns:xs="http://www.w3.org/2001/XMLSchema" xmlns:p="http://schemas.microsoft.com/office/2006/metadata/properties" xmlns:ns2="2eabc5bd-ff3f-4d8f-8219-d920ec79f09b" targetNamespace="http://schemas.microsoft.com/office/2006/metadata/properties" ma:root="true" ma:fieldsID="1c2553e62951719a5e590a18baefee38" ns2:_="">
    <xsd:import namespace="2eabc5bd-ff3f-4d8f-8219-d920ec79f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c5bd-ff3f-4d8f-8219-d920ec79f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E12CA-9D8A-45F2-95BD-D809E4EB515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4fbb7d94-6933-4bef-8e06-9c627ab67deb"/>
    <ds:schemaRef ds:uri="http://purl.org/dc/terms/"/>
    <ds:schemaRef ds:uri="6c9b29e5-e230-43ee-aab2-6bfb4fbef3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A9D103-59E1-4495-8B76-C75A278B9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bc5bd-ff3f-4d8f-8219-d920ec79f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B2A3C-3646-4B19-9100-778CD257F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Toledo</dc:creator>
  <cp:keywords/>
  <dc:description/>
  <cp:lastModifiedBy>Martin Toledo</cp:lastModifiedBy>
  <cp:revision>2</cp:revision>
  <dcterms:created xsi:type="dcterms:W3CDTF">2025-11-12T19:30:00Z</dcterms:created>
  <dcterms:modified xsi:type="dcterms:W3CDTF">2025-11-12T19:30:00Z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0x0101003E72C486C77F2243857E8151508DEBCC</vt:lpwstr>
  </property>
  <property fmtid="{D5CDD505-2E9C-101B-9397-08002B2CF9AE}" pid="3" name="GrammarlyDocumentId">
    <vt:lpwstr>4754e9bd-c2bd-46c7-93d3-9654860d74a1</vt:lpwstr>
  </property>
  <property fmtid="{D5CDD505-2E9C-101B-9397-08002B2CF9AE}" pid="4" name="MediaServiceImageTags">
    <vt:lpwstr/>
  </property>
</Properties>
</file>