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5AE1" w14:textId="40387962" w:rsidR="00D36C59" w:rsidRPr="009218A8" w:rsidRDefault="00771D9C" w:rsidP="00C94B66">
      <w:pPr>
        <w:spacing w:after="0"/>
        <w:jc w:val="center"/>
        <w:rPr>
          <w:rFonts w:ascii="Arial" w:hAnsi="Arial" w:cs="Arial"/>
          <w:sz w:val="24"/>
          <w:szCs w:val="24"/>
        </w:rPr>
      </w:pPr>
      <w:bookmarkStart w:id="0" w:name="_GoBack"/>
      <w:bookmarkEnd w:id="0"/>
      <w:r w:rsidRPr="009218A8">
        <w:rPr>
          <w:rFonts w:ascii="Arial" w:hAnsi="Arial" w:cs="Arial"/>
          <w:sz w:val="24"/>
          <w:szCs w:val="24"/>
        </w:rPr>
        <w:t xml:space="preserve">California </w:t>
      </w:r>
      <w:r w:rsidR="00D36C59" w:rsidRPr="009218A8">
        <w:rPr>
          <w:rFonts w:ascii="Arial" w:hAnsi="Arial" w:cs="Arial"/>
          <w:sz w:val="24"/>
          <w:szCs w:val="24"/>
        </w:rPr>
        <w:t>Department of Health Care Services</w:t>
      </w:r>
    </w:p>
    <w:p w14:paraId="7ADC5E66" w14:textId="77777777" w:rsidR="00D36C59" w:rsidRPr="00F6168F" w:rsidRDefault="00D36C59" w:rsidP="00C94B66">
      <w:pPr>
        <w:spacing w:after="0"/>
        <w:jc w:val="center"/>
        <w:rPr>
          <w:rFonts w:ascii="Arial" w:hAnsi="Arial" w:cs="Arial"/>
          <w:b/>
          <w:sz w:val="24"/>
          <w:szCs w:val="32"/>
        </w:rPr>
      </w:pPr>
    </w:p>
    <w:p w14:paraId="731E6836" w14:textId="4CBED28E" w:rsidR="00FF20D9" w:rsidRPr="0011524D" w:rsidRDefault="002E11D8" w:rsidP="00C94B66">
      <w:pPr>
        <w:spacing w:after="0"/>
        <w:jc w:val="center"/>
        <w:rPr>
          <w:rFonts w:ascii="Arial" w:hAnsi="Arial" w:cs="Arial"/>
          <w:b/>
          <w:sz w:val="32"/>
          <w:szCs w:val="32"/>
        </w:rPr>
      </w:pPr>
      <w:r>
        <w:rPr>
          <w:rFonts w:ascii="Arial" w:hAnsi="Arial" w:cs="Arial"/>
          <w:b/>
          <w:sz w:val="32"/>
          <w:szCs w:val="32"/>
        </w:rPr>
        <w:t>Fiscal Year 2017-18</w:t>
      </w:r>
      <w:r w:rsidR="002B1FE8" w:rsidRPr="0011524D">
        <w:rPr>
          <w:rFonts w:ascii="Arial" w:hAnsi="Arial" w:cs="Arial"/>
          <w:b/>
          <w:sz w:val="32"/>
          <w:szCs w:val="32"/>
        </w:rPr>
        <w:t xml:space="preserve"> </w:t>
      </w:r>
    </w:p>
    <w:p w14:paraId="2E08B65C" w14:textId="3F4BCC15" w:rsidR="002A32C4" w:rsidRPr="0011524D" w:rsidRDefault="002B1FE8" w:rsidP="00C94B66">
      <w:pPr>
        <w:spacing w:after="0"/>
        <w:jc w:val="center"/>
        <w:rPr>
          <w:rFonts w:ascii="Arial" w:hAnsi="Arial" w:cs="Arial"/>
          <w:b/>
          <w:sz w:val="32"/>
          <w:szCs w:val="32"/>
        </w:rPr>
      </w:pPr>
      <w:r w:rsidRPr="0011524D">
        <w:rPr>
          <w:rFonts w:ascii="Arial" w:hAnsi="Arial" w:cs="Arial"/>
          <w:b/>
          <w:sz w:val="32"/>
          <w:szCs w:val="32"/>
        </w:rPr>
        <w:t xml:space="preserve">Substance Use Disorder Cost Report For </w:t>
      </w:r>
    </w:p>
    <w:p w14:paraId="7090D4E1" w14:textId="12283316" w:rsidR="00C94B66" w:rsidRPr="0011524D" w:rsidRDefault="002B1FE8" w:rsidP="00C94B66">
      <w:pPr>
        <w:spacing w:after="0"/>
        <w:jc w:val="center"/>
        <w:rPr>
          <w:rFonts w:ascii="Arial" w:hAnsi="Arial" w:cs="Arial"/>
          <w:b/>
          <w:sz w:val="32"/>
          <w:szCs w:val="32"/>
        </w:rPr>
      </w:pPr>
      <w:r w:rsidRPr="0011524D">
        <w:rPr>
          <w:rFonts w:ascii="Arial" w:hAnsi="Arial" w:cs="Arial"/>
          <w:b/>
          <w:sz w:val="32"/>
          <w:szCs w:val="32"/>
        </w:rPr>
        <w:t xml:space="preserve">Drug Medi-Cal Providers Participating In The  </w:t>
      </w:r>
    </w:p>
    <w:p w14:paraId="1382F6B3" w14:textId="30F3F84C" w:rsidR="00A54BDB" w:rsidRPr="0011524D" w:rsidRDefault="002B1FE8" w:rsidP="00C94B66">
      <w:pPr>
        <w:spacing w:after="0"/>
        <w:jc w:val="center"/>
        <w:rPr>
          <w:rFonts w:ascii="Arial" w:hAnsi="Arial" w:cs="Arial"/>
          <w:b/>
          <w:sz w:val="32"/>
          <w:szCs w:val="32"/>
        </w:rPr>
      </w:pPr>
      <w:r w:rsidRPr="0011524D">
        <w:rPr>
          <w:rFonts w:ascii="Arial" w:hAnsi="Arial" w:cs="Arial"/>
          <w:b/>
          <w:sz w:val="32"/>
          <w:szCs w:val="32"/>
        </w:rPr>
        <w:t>Organized Delivery System Waiver Program</w:t>
      </w:r>
    </w:p>
    <w:p w14:paraId="7F439FEA" w14:textId="77777777" w:rsidR="00FF20D9" w:rsidRPr="00F6168F" w:rsidRDefault="00FF20D9" w:rsidP="00C94B66">
      <w:pPr>
        <w:spacing w:after="0"/>
        <w:jc w:val="center"/>
        <w:rPr>
          <w:rFonts w:ascii="Arial" w:hAnsi="Arial" w:cs="Arial"/>
          <w:b/>
          <w:sz w:val="24"/>
          <w:szCs w:val="32"/>
        </w:rPr>
      </w:pPr>
    </w:p>
    <w:p w14:paraId="605ACEAA" w14:textId="1C3FCB38" w:rsidR="009218A8" w:rsidRPr="0011524D" w:rsidRDefault="002B1FE8" w:rsidP="00C94B66">
      <w:pPr>
        <w:spacing w:after="0"/>
        <w:jc w:val="center"/>
        <w:rPr>
          <w:rFonts w:ascii="Arial" w:hAnsi="Arial" w:cs="Arial"/>
          <w:b/>
          <w:sz w:val="28"/>
          <w:szCs w:val="28"/>
        </w:rPr>
      </w:pPr>
      <w:r w:rsidRPr="0011524D">
        <w:rPr>
          <w:rFonts w:ascii="Arial" w:hAnsi="Arial" w:cs="Arial"/>
          <w:b/>
          <w:sz w:val="28"/>
          <w:szCs w:val="28"/>
        </w:rPr>
        <w:t xml:space="preserve">Instructions For </w:t>
      </w:r>
    </w:p>
    <w:p w14:paraId="16B736F0" w14:textId="2EE2DD8D" w:rsidR="00FF20D9" w:rsidRPr="0011524D" w:rsidRDefault="002B1FE8" w:rsidP="00C94B66">
      <w:pPr>
        <w:spacing w:after="0"/>
        <w:jc w:val="center"/>
        <w:rPr>
          <w:rFonts w:ascii="Arial" w:hAnsi="Arial" w:cs="Arial"/>
          <w:b/>
          <w:sz w:val="28"/>
          <w:szCs w:val="28"/>
        </w:rPr>
      </w:pPr>
      <w:r w:rsidRPr="0011524D">
        <w:rPr>
          <w:rFonts w:ascii="Arial" w:hAnsi="Arial" w:cs="Arial"/>
          <w:b/>
          <w:sz w:val="28"/>
          <w:szCs w:val="28"/>
        </w:rPr>
        <w:t>Completing Cost Report Forms</w:t>
      </w:r>
    </w:p>
    <w:p w14:paraId="0DC34D3D" w14:textId="77777777" w:rsidR="00FF20D9" w:rsidRPr="00F6168F" w:rsidRDefault="00FF20D9" w:rsidP="00C94B66">
      <w:pPr>
        <w:spacing w:after="0"/>
        <w:jc w:val="center"/>
        <w:rPr>
          <w:sz w:val="24"/>
          <w:szCs w:val="34"/>
        </w:rPr>
      </w:pPr>
    </w:p>
    <w:p w14:paraId="1876CB8B" w14:textId="77777777" w:rsidR="00615A22" w:rsidRPr="00383F30" w:rsidRDefault="00615A22" w:rsidP="00615A22">
      <w:pPr>
        <w:spacing w:after="0"/>
        <w:rPr>
          <w:rFonts w:ascii="Arial" w:hAnsi="Arial" w:cs="Arial"/>
          <w:b/>
          <w:sz w:val="24"/>
        </w:rPr>
      </w:pPr>
      <w:r w:rsidRPr="00383F30">
        <w:rPr>
          <w:rFonts w:ascii="Arial" w:hAnsi="Arial" w:cs="Arial"/>
          <w:b/>
          <w:sz w:val="24"/>
        </w:rPr>
        <w:t>A.</w:t>
      </w:r>
      <w:r w:rsidRPr="00383F30">
        <w:rPr>
          <w:rFonts w:ascii="Arial" w:hAnsi="Arial" w:cs="Arial"/>
          <w:b/>
          <w:sz w:val="24"/>
        </w:rPr>
        <w:tab/>
        <w:t>GENERAL</w:t>
      </w:r>
    </w:p>
    <w:p w14:paraId="206B57AF" w14:textId="77777777" w:rsidR="00615A22" w:rsidRPr="00615A22" w:rsidRDefault="00615A22" w:rsidP="00615A22">
      <w:pPr>
        <w:spacing w:after="0"/>
        <w:rPr>
          <w:rFonts w:ascii="Arial" w:hAnsi="Arial" w:cs="Arial"/>
          <w:sz w:val="24"/>
        </w:rPr>
      </w:pPr>
    </w:p>
    <w:p w14:paraId="510F934A" w14:textId="77777777" w:rsidR="00615A22" w:rsidRPr="00615A22" w:rsidRDefault="00615A22" w:rsidP="00864D25">
      <w:pPr>
        <w:spacing w:after="0"/>
        <w:ind w:left="720"/>
        <w:rPr>
          <w:rFonts w:ascii="Arial" w:hAnsi="Arial" w:cs="Arial"/>
          <w:sz w:val="24"/>
        </w:rPr>
      </w:pPr>
      <w:r w:rsidRPr="00615A22">
        <w:rPr>
          <w:rFonts w:ascii="Arial" w:hAnsi="Arial" w:cs="Arial"/>
          <w:sz w:val="24"/>
        </w:rPr>
        <w:t xml:space="preserve">Section 14124.24(g) (1) of the Welfare and Institutions Code (WIC) requires that counties and contracted providers (except for those providing only narcotic treatment) submit </w:t>
      </w:r>
      <w:r w:rsidR="00BB226A">
        <w:rPr>
          <w:rFonts w:ascii="Arial" w:hAnsi="Arial" w:cs="Arial"/>
          <w:sz w:val="24"/>
        </w:rPr>
        <w:t xml:space="preserve">substance use disorder </w:t>
      </w:r>
      <w:r w:rsidR="00D36C59">
        <w:rPr>
          <w:rFonts w:ascii="Arial" w:hAnsi="Arial" w:cs="Arial"/>
          <w:sz w:val="24"/>
        </w:rPr>
        <w:t xml:space="preserve">(SUD) </w:t>
      </w:r>
      <w:r w:rsidRPr="00615A22">
        <w:rPr>
          <w:rFonts w:ascii="Arial" w:hAnsi="Arial" w:cs="Arial"/>
          <w:sz w:val="24"/>
        </w:rPr>
        <w:t xml:space="preserve">cost reports </w:t>
      </w:r>
      <w:r w:rsidR="00D36C59">
        <w:rPr>
          <w:rFonts w:ascii="Arial" w:hAnsi="Arial" w:cs="Arial"/>
          <w:sz w:val="24"/>
        </w:rPr>
        <w:t xml:space="preserve">to the Department of Health Care Services (DHCS) </w:t>
      </w:r>
      <w:r w:rsidRPr="00615A22">
        <w:rPr>
          <w:rFonts w:ascii="Arial" w:hAnsi="Arial" w:cs="Arial"/>
          <w:sz w:val="24"/>
        </w:rPr>
        <w:t>by November 1 for the previous state fiscal year, unless DHCS grants a formal extension.</w:t>
      </w:r>
    </w:p>
    <w:p w14:paraId="5D9258FE" w14:textId="2E3B6358" w:rsidR="00615A22" w:rsidRDefault="00615A22" w:rsidP="00615A22">
      <w:pPr>
        <w:spacing w:after="0"/>
        <w:rPr>
          <w:rFonts w:ascii="Arial" w:hAnsi="Arial" w:cs="Arial"/>
          <w:sz w:val="24"/>
        </w:rPr>
      </w:pPr>
    </w:p>
    <w:p w14:paraId="6C39D62D" w14:textId="7D884084" w:rsidR="003F638E" w:rsidRDefault="003F638E" w:rsidP="0041412C">
      <w:pPr>
        <w:spacing w:after="0"/>
        <w:ind w:left="720"/>
        <w:rPr>
          <w:rFonts w:ascii="Arial" w:hAnsi="Arial" w:cs="Arial"/>
          <w:sz w:val="24"/>
        </w:rPr>
      </w:pPr>
      <w:r>
        <w:rPr>
          <w:rFonts w:ascii="Arial" w:hAnsi="Arial" w:cs="Arial"/>
          <w:sz w:val="24"/>
        </w:rPr>
        <w:t xml:space="preserve">These cost report instructions </w:t>
      </w:r>
      <w:r w:rsidR="005A1261">
        <w:rPr>
          <w:rFonts w:ascii="Arial" w:hAnsi="Arial" w:cs="Arial"/>
          <w:sz w:val="24"/>
        </w:rPr>
        <w:t xml:space="preserve">and the applicable forms </w:t>
      </w:r>
      <w:r>
        <w:rPr>
          <w:rFonts w:ascii="Arial" w:hAnsi="Arial" w:cs="Arial"/>
          <w:sz w:val="24"/>
        </w:rPr>
        <w:t xml:space="preserve">apply only to </w:t>
      </w:r>
      <w:r w:rsidR="008A0411">
        <w:rPr>
          <w:rFonts w:ascii="Arial" w:hAnsi="Arial" w:cs="Arial"/>
          <w:sz w:val="24"/>
        </w:rPr>
        <w:t>Drug Medi-Cal (</w:t>
      </w:r>
      <w:r>
        <w:rPr>
          <w:rFonts w:ascii="Arial" w:hAnsi="Arial" w:cs="Arial"/>
          <w:sz w:val="24"/>
        </w:rPr>
        <w:t>DMC</w:t>
      </w:r>
      <w:r w:rsidR="008A0411">
        <w:rPr>
          <w:rFonts w:ascii="Arial" w:hAnsi="Arial" w:cs="Arial"/>
          <w:sz w:val="24"/>
        </w:rPr>
        <w:t>)</w:t>
      </w:r>
      <w:r>
        <w:rPr>
          <w:rFonts w:ascii="Arial" w:hAnsi="Arial" w:cs="Arial"/>
          <w:sz w:val="24"/>
        </w:rPr>
        <w:t xml:space="preserve"> certified providers who subcontract with a county that has a contract with </w:t>
      </w:r>
      <w:r w:rsidR="005A1261">
        <w:rPr>
          <w:rFonts w:ascii="Arial" w:hAnsi="Arial" w:cs="Arial"/>
          <w:sz w:val="24"/>
        </w:rPr>
        <w:t xml:space="preserve">DHCS </w:t>
      </w:r>
      <w:r w:rsidRPr="003F638E">
        <w:rPr>
          <w:rFonts w:ascii="Arial" w:hAnsi="Arial" w:cs="Arial"/>
          <w:sz w:val="24"/>
        </w:rPr>
        <w:t>to provide DMC-</w:t>
      </w:r>
      <w:r w:rsidR="008A0411">
        <w:rPr>
          <w:rFonts w:ascii="Arial" w:hAnsi="Arial" w:cs="Arial"/>
          <w:sz w:val="24"/>
        </w:rPr>
        <w:t>Organized Delivery System (</w:t>
      </w:r>
      <w:r w:rsidRPr="003F638E">
        <w:rPr>
          <w:rFonts w:ascii="Arial" w:hAnsi="Arial" w:cs="Arial"/>
          <w:sz w:val="24"/>
        </w:rPr>
        <w:t>ODS</w:t>
      </w:r>
      <w:r w:rsidR="008A0411">
        <w:rPr>
          <w:rFonts w:ascii="Arial" w:hAnsi="Arial" w:cs="Arial"/>
          <w:sz w:val="24"/>
        </w:rPr>
        <w:t>)</w:t>
      </w:r>
      <w:r w:rsidRPr="003F638E">
        <w:rPr>
          <w:rFonts w:ascii="Arial" w:hAnsi="Arial" w:cs="Arial"/>
          <w:sz w:val="24"/>
        </w:rPr>
        <w:t xml:space="preserve"> services</w:t>
      </w:r>
      <w:r w:rsidR="005A1261">
        <w:rPr>
          <w:rFonts w:ascii="Arial" w:hAnsi="Arial" w:cs="Arial"/>
          <w:sz w:val="24"/>
        </w:rPr>
        <w:t xml:space="preserve"> (or a county-operated DMC provider in the </w:t>
      </w:r>
      <w:r w:rsidR="008A0411">
        <w:rPr>
          <w:rFonts w:ascii="Arial" w:hAnsi="Arial" w:cs="Arial"/>
          <w:sz w:val="24"/>
        </w:rPr>
        <w:t>contracted</w:t>
      </w:r>
      <w:r w:rsidR="005A1261">
        <w:rPr>
          <w:rFonts w:ascii="Arial" w:hAnsi="Arial" w:cs="Arial"/>
          <w:sz w:val="24"/>
        </w:rPr>
        <w:t xml:space="preserve"> county)</w:t>
      </w:r>
      <w:r w:rsidRPr="003F638E">
        <w:rPr>
          <w:rFonts w:ascii="Arial" w:hAnsi="Arial" w:cs="Arial"/>
          <w:sz w:val="24"/>
        </w:rPr>
        <w:t>.</w:t>
      </w:r>
      <w:r w:rsidR="00410B6F">
        <w:rPr>
          <w:rFonts w:ascii="Arial" w:hAnsi="Arial" w:cs="Arial"/>
          <w:sz w:val="24"/>
        </w:rPr>
        <w:t xml:space="preserve"> </w:t>
      </w:r>
      <w:r w:rsidR="005A1261" w:rsidRPr="005A1261">
        <w:t xml:space="preserve"> </w:t>
      </w:r>
      <w:r w:rsidR="005A1261" w:rsidRPr="005A1261">
        <w:rPr>
          <w:rFonts w:ascii="Arial" w:hAnsi="Arial" w:cs="Arial"/>
          <w:sz w:val="24"/>
        </w:rPr>
        <w:t xml:space="preserve">Each </w:t>
      </w:r>
      <w:r w:rsidR="005A1261">
        <w:rPr>
          <w:rFonts w:ascii="Arial" w:hAnsi="Arial" w:cs="Arial"/>
          <w:sz w:val="24"/>
        </w:rPr>
        <w:t xml:space="preserve">DMC </w:t>
      </w:r>
      <w:r w:rsidR="005A1261" w:rsidRPr="005A1261">
        <w:rPr>
          <w:rFonts w:ascii="Arial" w:hAnsi="Arial" w:cs="Arial"/>
          <w:sz w:val="24"/>
        </w:rPr>
        <w:t xml:space="preserve">provider </w:t>
      </w:r>
      <w:r w:rsidR="005A1261">
        <w:rPr>
          <w:rFonts w:ascii="Arial" w:hAnsi="Arial" w:cs="Arial"/>
          <w:sz w:val="24"/>
        </w:rPr>
        <w:t xml:space="preserve">must </w:t>
      </w:r>
      <w:r w:rsidR="005A1261" w:rsidRPr="005A1261">
        <w:rPr>
          <w:rFonts w:ascii="Arial" w:hAnsi="Arial" w:cs="Arial"/>
          <w:sz w:val="24"/>
        </w:rPr>
        <w:t xml:space="preserve">submit </w:t>
      </w:r>
      <w:r w:rsidR="005A1261">
        <w:rPr>
          <w:rFonts w:ascii="Arial" w:hAnsi="Arial" w:cs="Arial"/>
          <w:sz w:val="24"/>
        </w:rPr>
        <w:t xml:space="preserve">the applicable </w:t>
      </w:r>
      <w:r w:rsidR="005A1261" w:rsidRPr="005A1261">
        <w:rPr>
          <w:rFonts w:ascii="Arial" w:hAnsi="Arial" w:cs="Arial"/>
          <w:sz w:val="24"/>
        </w:rPr>
        <w:t xml:space="preserve">cost report </w:t>
      </w:r>
      <w:r w:rsidR="005A1261">
        <w:rPr>
          <w:rFonts w:ascii="Arial" w:hAnsi="Arial" w:cs="Arial"/>
          <w:sz w:val="24"/>
        </w:rPr>
        <w:t xml:space="preserve">forms </w:t>
      </w:r>
      <w:r w:rsidR="005A1261" w:rsidRPr="005A1261">
        <w:rPr>
          <w:rFonts w:ascii="Arial" w:hAnsi="Arial" w:cs="Arial"/>
          <w:sz w:val="24"/>
        </w:rPr>
        <w:t xml:space="preserve">that reflect the services rendered to </w:t>
      </w:r>
      <w:r w:rsidR="005A1261">
        <w:rPr>
          <w:rFonts w:ascii="Arial" w:hAnsi="Arial" w:cs="Arial"/>
          <w:sz w:val="24"/>
        </w:rPr>
        <w:t xml:space="preserve">DMC </w:t>
      </w:r>
      <w:r w:rsidR="005A1261" w:rsidRPr="005A1261">
        <w:rPr>
          <w:rFonts w:ascii="Arial" w:hAnsi="Arial" w:cs="Arial"/>
          <w:sz w:val="24"/>
        </w:rPr>
        <w:t>beneficiaries</w:t>
      </w:r>
      <w:r w:rsidR="00606A16">
        <w:rPr>
          <w:rFonts w:ascii="Arial" w:hAnsi="Arial" w:cs="Arial"/>
          <w:sz w:val="24"/>
        </w:rPr>
        <w:t>,</w:t>
      </w:r>
      <w:r w:rsidR="005A1261" w:rsidRPr="005A1261">
        <w:rPr>
          <w:rFonts w:ascii="Arial" w:hAnsi="Arial" w:cs="Arial"/>
          <w:sz w:val="24"/>
        </w:rPr>
        <w:t xml:space="preserve"> consistent with the authorities specified in the approved terms and conditions of the waiver.</w:t>
      </w:r>
      <w:r w:rsidR="005A1261" w:rsidRPr="005A1261">
        <w:t xml:space="preserve"> </w:t>
      </w:r>
      <w:r w:rsidR="00410B6F">
        <w:t xml:space="preserve"> </w:t>
      </w:r>
      <w:r w:rsidR="005A1261" w:rsidRPr="005A1261">
        <w:rPr>
          <w:rFonts w:ascii="Arial" w:hAnsi="Arial" w:cs="Arial"/>
          <w:sz w:val="24"/>
        </w:rPr>
        <w:t>Contracting counties will submit an annual cost report that summarizes the total actual costs for service provider expenditures for the covered services.</w:t>
      </w:r>
    </w:p>
    <w:p w14:paraId="074DA4F4" w14:textId="77777777" w:rsidR="003F638E" w:rsidRDefault="003F638E" w:rsidP="00615A22">
      <w:pPr>
        <w:spacing w:after="0"/>
        <w:rPr>
          <w:rFonts w:ascii="Arial" w:hAnsi="Arial" w:cs="Arial"/>
          <w:sz w:val="24"/>
        </w:rPr>
      </w:pPr>
    </w:p>
    <w:p w14:paraId="3B330A45" w14:textId="19434686" w:rsidR="00615A22" w:rsidRDefault="00383F30" w:rsidP="0041412C">
      <w:pPr>
        <w:ind w:left="720"/>
        <w:rPr>
          <w:rFonts w:ascii="Arial" w:hAnsi="Arial" w:cs="Arial"/>
          <w:sz w:val="24"/>
        </w:rPr>
      </w:pPr>
      <w:r w:rsidRPr="00F941FD">
        <w:rPr>
          <w:rFonts w:ascii="Arial" w:hAnsi="Arial" w:cs="Arial"/>
          <w:b/>
          <w:sz w:val="24"/>
        </w:rPr>
        <w:t xml:space="preserve">There is one Excel </w:t>
      </w:r>
      <w:r w:rsidR="0090662B" w:rsidRPr="00F941FD">
        <w:rPr>
          <w:rFonts w:ascii="Arial" w:hAnsi="Arial" w:cs="Arial"/>
          <w:b/>
          <w:sz w:val="24"/>
        </w:rPr>
        <w:t>file</w:t>
      </w:r>
      <w:r w:rsidR="00606A16" w:rsidRPr="00F941FD">
        <w:rPr>
          <w:rFonts w:ascii="Arial" w:hAnsi="Arial" w:cs="Arial"/>
          <w:b/>
          <w:sz w:val="24"/>
        </w:rPr>
        <w:t xml:space="preserve"> </w:t>
      </w:r>
      <w:r w:rsidRPr="00F941FD">
        <w:rPr>
          <w:rFonts w:ascii="Arial" w:hAnsi="Arial" w:cs="Arial"/>
          <w:b/>
          <w:sz w:val="24"/>
        </w:rPr>
        <w:t>that must be completed by the legal entity for each site of service</w:t>
      </w:r>
      <w:r w:rsidR="00D67B0F" w:rsidRPr="00F941FD">
        <w:rPr>
          <w:rFonts w:ascii="Arial" w:hAnsi="Arial" w:cs="Arial"/>
          <w:b/>
          <w:sz w:val="24"/>
        </w:rPr>
        <w:t>(s)</w:t>
      </w:r>
      <w:r w:rsidR="001A4102" w:rsidRPr="00F941FD">
        <w:rPr>
          <w:rFonts w:ascii="Arial" w:hAnsi="Arial" w:cs="Arial"/>
          <w:b/>
          <w:sz w:val="24"/>
        </w:rPr>
        <w:t xml:space="preserve"> that </w:t>
      </w:r>
      <w:r w:rsidR="0090662B" w:rsidRPr="00F941FD">
        <w:rPr>
          <w:rFonts w:ascii="Arial" w:hAnsi="Arial" w:cs="Arial"/>
          <w:b/>
          <w:sz w:val="24"/>
        </w:rPr>
        <w:t xml:space="preserve">has its own Drug Medi-Cal (DMC) number </w:t>
      </w:r>
      <w:r w:rsidR="001A4102" w:rsidRPr="00F941FD">
        <w:rPr>
          <w:rFonts w:ascii="Arial" w:hAnsi="Arial" w:cs="Arial"/>
          <w:b/>
          <w:sz w:val="24"/>
        </w:rPr>
        <w:t>and DMC certification</w:t>
      </w:r>
      <w:r w:rsidRPr="00F941FD">
        <w:rPr>
          <w:rFonts w:ascii="Arial" w:hAnsi="Arial" w:cs="Arial"/>
          <w:b/>
          <w:sz w:val="24"/>
        </w:rPr>
        <w:t xml:space="preserve"> </w:t>
      </w:r>
      <w:r w:rsidR="00316AAF" w:rsidRPr="00F941FD">
        <w:rPr>
          <w:rFonts w:ascii="Arial" w:hAnsi="Arial" w:cs="Arial"/>
          <w:b/>
          <w:sz w:val="24"/>
        </w:rPr>
        <w:t>and maintains separate accounting records</w:t>
      </w:r>
      <w:r w:rsidRPr="00F941FD">
        <w:rPr>
          <w:rFonts w:ascii="Arial" w:hAnsi="Arial" w:cs="Arial"/>
          <w:b/>
          <w:sz w:val="24"/>
        </w:rPr>
        <w:t>.</w:t>
      </w:r>
      <w:r w:rsidR="00F941FD">
        <w:rPr>
          <w:rFonts w:ascii="Arial" w:hAnsi="Arial" w:cs="Arial"/>
          <w:sz w:val="24"/>
        </w:rPr>
        <w:t xml:space="preserve"> </w:t>
      </w:r>
      <w:r w:rsidR="00307B30">
        <w:rPr>
          <w:rFonts w:ascii="Arial" w:hAnsi="Arial" w:cs="Arial"/>
          <w:sz w:val="24"/>
        </w:rPr>
        <w:t xml:space="preserve">There are </w:t>
      </w:r>
      <w:r w:rsidR="00A21DF5">
        <w:rPr>
          <w:rFonts w:ascii="Arial" w:hAnsi="Arial" w:cs="Arial"/>
          <w:sz w:val="24"/>
        </w:rPr>
        <w:t>2</w:t>
      </w:r>
      <w:r w:rsidR="00FE3CB9">
        <w:rPr>
          <w:rFonts w:ascii="Arial" w:hAnsi="Arial" w:cs="Arial"/>
          <w:sz w:val="24"/>
        </w:rPr>
        <w:t>8</w:t>
      </w:r>
      <w:r w:rsidR="00631E6D">
        <w:rPr>
          <w:rFonts w:ascii="Arial" w:hAnsi="Arial" w:cs="Arial"/>
          <w:sz w:val="24"/>
        </w:rPr>
        <w:t xml:space="preserve"> </w:t>
      </w:r>
      <w:r w:rsidRPr="00383F30">
        <w:rPr>
          <w:rFonts w:ascii="Arial" w:hAnsi="Arial" w:cs="Arial"/>
          <w:sz w:val="24"/>
        </w:rPr>
        <w:t xml:space="preserve">worksheet tabs </w:t>
      </w:r>
      <w:r w:rsidR="00307B30">
        <w:rPr>
          <w:rFonts w:ascii="Arial" w:hAnsi="Arial" w:cs="Arial"/>
          <w:sz w:val="24"/>
        </w:rPr>
        <w:t>with data entry areas</w:t>
      </w:r>
      <w:r w:rsidR="00D36C59">
        <w:rPr>
          <w:rFonts w:ascii="Arial" w:hAnsi="Arial" w:cs="Arial"/>
          <w:sz w:val="24"/>
        </w:rPr>
        <w:t xml:space="preserve"> identified in yellow; how</w:t>
      </w:r>
      <w:r w:rsidRPr="00383F30">
        <w:rPr>
          <w:rFonts w:ascii="Arial" w:hAnsi="Arial" w:cs="Arial"/>
          <w:sz w:val="24"/>
        </w:rPr>
        <w:t xml:space="preserve">ever, most </w:t>
      </w:r>
      <w:r w:rsidR="00307B30">
        <w:rPr>
          <w:rFonts w:ascii="Arial" w:hAnsi="Arial" w:cs="Arial"/>
          <w:sz w:val="24"/>
        </w:rPr>
        <w:t xml:space="preserve">of the worksheet </w:t>
      </w:r>
      <w:r w:rsidRPr="00383F30">
        <w:rPr>
          <w:rFonts w:ascii="Arial" w:hAnsi="Arial" w:cs="Arial"/>
          <w:sz w:val="24"/>
        </w:rPr>
        <w:t xml:space="preserve">areas are automatically populated.  </w:t>
      </w:r>
    </w:p>
    <w:p w14:paraId="301DCDA9" w14:textId="0855E117" w:rsidR="008A0411" w:rsidRDefault="008A0411">
      <w:pPr>
        <w:rPr>
          <w:rFonts w:ascii="Arial" w:hAnsi="Arial" w:cs="Arial"/>
          <w:sz w:val="24"/>
        </w:rPr>
      </w:pPr>
      <w:r>
        <w:rPr>
          <w:rFonts w:ascii="Arial" w:hAnsi="Arial" w:cs="Arial"/>
          <w:sz w:val="24"/>
        </w:rPr>
        <w:br w:type="page"/>
      </w:r>
    </w:p>
    <w:p w14:paraId="0267A903" w14:textId="77777777" w:rsidR="007D6ED9" w:rsidRPr="007D6ED9" w:rsidRDefault="007D6ED9" w:rsidP="007D6ED9">
      <w:pPr>
        <w:spacing w:after="0"/>
        <w:rPr>
          <w:rFonts w:ascii="Arial" w:hAnsi="Arial" w:cs="Arial"/>
          <w:b/>
          <w:sz w:val="24"/>
        </w:rPr>
      </w:pPr>
      <w:r>
        <w:rPr>
          <w:rFonts w:ascii="Arial" w:hAnsi="Arial" w:cs="Arial"/>
          <w:b/>
          <w:sz w:val="24"/>
        </w:rPr>
        <w:lastRenderedPageBreak/>
        <w:t>B.</w:t>
      </w:r>
      <w:r>
        <w:rPr>
          <w:rFonts w:ascii="Arial" w:hAnsi="Arial" w:cs="Arial"/>
          <w:b/>
          <w:sz w:val="24"/>
        </w:rPr>
        <w:tab/>
        <w:t>DEFINITIONS</w:t>
      </w:r>
    </w:p>
    <w:p w14:paraId="5DCB78AF" w14:textId="77777777" w:rsidR="007D6ED9" w:rsidRDefault="007D6ED9" w:rsidP="007D6ED9">
      <w:pPr>
        <w:spacing w:after="0"/>
        <w:rPr>
          <w:rFonts w:ascii="Arial" w:hAnsi="Arial" w:cs="Arial"/>
          <w:sz w:val="24"/>
        </w:rPr>
      </w:pPr>
    </w:p>
    <w:p w14:paraId="61E1ABF0" w14:textId="77777777" w:rsidR="001C05F3" w:rsidRDefault="001C05F3" w:rsidP="004407F1">
      <w:pPr>
        <w:pStyle w:val="ListParagraph"/>
        <w:numPr>
          <w:ilvl w:val="0"/>
          <w:numId w:val="6"/>
        </w:numPr>
        <w:spacing w:after="0"/>
        <w:rPr>
          <w:rFonts w:ascii="Arial" w:hAnsi="Arial" w:cs="Arial"/>
          <w:sz w:val="24"/>
        </w:rPr>
      </w:pPr>
      <w:r>
        <w:rPr>
          <w:rFonts w:ascii="Arial" w:hAnsi="Arial" w:cs="Arial"/>
          <w:sz w:val="24"/>
        </w:rPr>
        <w:t xml:space="preserve">“CMS” means </w:t>
      </w:r>
      <w:r w:rsidR="00B85E6F">
        <w:rPr>
          <w:rFonts w:ascii="Arial" w:hAnsi="Arial" w:cs="Arial"/>
          <w:sz w:val="24"/>
        </w:rPr>
        <w:t>the Centers for Medicare and Medicaid Services.</w:t>
      </w:r>
    </w:p>
    <w:p w14:paraId="298E0947" w14:textId="5FE9544B" w:rsidR="00B520FC" w:rsidRDefault="00366792" w:rsidP="00B520FC">
      <w:pPr>
        <w:pStyle w:val="ListParagraph"/>
        <w:numPr>
          <w:ilvl w:val="0"/>
          <w:numId w:val="6"/>
        </w:numPr>
        <w:spacing w:after="0"/>
        <w:rPr>
          <w:rFonts w:ascii="Arial" w:hAnsi="Arial" w:cs="Arial"/>
          <w:sz w:val="24"/>
        </w:rPr>
      </w:pPr>
      <w:r w:rsidRPr="00B520FC">
        <w:rPr>
          <w:rFonts w:ascii="Arial" w:hAnsi="Arial" w:cs="Arial"/>
          <w:sz w:val="24"/>
        </w:rPr>
        <w:t xml:space="preserve">“Cost </w:t>
      </w:r>
      <w:r w:rsidR="00D67B0F">
        <w:rPr>
          <w:rFonts w:ascii="Arial" w:hAnsi="Arial" w:cs="Arial"/>
          <w:sz w:val="24"/>
        </w:rPr>
        <w:t>C</w:t>
      </w:r>
      <w:r w:rsidRPr="00B520FC">
        <w:rPr>
          <w:rFonts w:ascii="Arial" w:hAnsi="Arial" w:cs="Arial"/>
          <w:sz w:val="24"/>
        </w:rPr>
        <w:t>enter” means</w:t>
      </w:r>
      <w:r w:rsidR="00B520FC" w:rsidRPr="00B520FC">
        <w:rPr>
          <w:rFonts w:ascii="Arial" w:hAnsi="Arial" w:cs="Arial"/>
          <w:sz w:val="24"/>
        </w:rPr>
        <w:t xml:space="preserve"> a department or other unit within an organization to which costs may be charged for accounting purposes.</w:t>
      </w:r>
    </w:p>
    <w:p w14:paraId="4906C2A2" w14:textId="77777777" w:rsidR="007D6ED9" w:rsidRPr="00B520FC" w:rsidRDefault="007D6ED9" w:rsidP="004407F1">
      <w:pPr>
        <w:pStyle w:val="ListParagraph"/>
        <w:numPr>
          <w:ilvl w:val="0"/>
          <w:numId w:val="6"/>
        </w:numPr>
        <w:spacing w:after="0"/>
        <w:rPr>
          <w:rFonts w:ascii="Arial" w:hAnsi="Arial" w:cs="Arial"/>
          <w:sz w:val="24"/>
        </w:rPr>
      </w:pPr>
      <w:r w:rsidRPr="00B520FC">
        <w:rPr>
          <w:rFonts w:ascii="Arial" w:hAnsi="Arial" w:cs="Arial"/>
          <w:sz w:val="24"/>
        </w:rPr>
        <w:t>“DHCS” means the California Department of Health Care Services.</w:t>
      </w:r>
    </w:p>
    <w:p w14:paraId="23659287" w14:textId="3504D550" w:rsidR="007D6ED9" w:rsidRDefault="007D6ED9" w:rsidP="004407F1">
      <w:pPr>
        <w:pStyle w:val="ListParagraph"/>
        <w:numPr>
          <w:ilvl w:val="0"/>
          <w:numId w:val="6"/>
        </w:numPr>
        <w:spacing w:after="0"/>
        <w:rPr>
          <w:rFonts w:ascii="Arial" w:hAnsi="Arial" w:cs="Arial"/>
          <w:sz w:val="24"/>
        </w:rPr>
      </w:pPr>
      <w:r w:rsidRPr="007D6ED9">
        <w:rPr>
          <w:rFonts w:ascii="Arial" w:hAnsi="Arial" w:cs="Arial"/>
          <w:sz w:val="24"/>
        </w:rPr>
        <w:t xml:space="preserve">“Direct </w:t>
      </w:r>
      <w:r w:rsidR="00B520FC">
        <w:rPr>
          <w:rFonts w:ascii="Arial" w:hAnsi="Arial" w:cs="Arial"/>
          <w:sz w:val="24"/>
        </w:rPr>
        <w:t>c</w:t>
      </w:r>
      <w:r w:rsidRPr="007D6ED9">
        <w:rPr>
          <w:rFonts w:ascii="Arial" w:hAnsi="Arial" w:cs="Arial"/>
          <w:sz w:val="24"/>
        </w:rPr>
        <w:t>osts” means those that are directly incurred, consumed, expanded and identifiable for the deliver</w:t>
      </w:r>
      <w:r w:rsidR="001C05F3">
        <w:rPr>
          <w:rFonts w:ascii="Arial" w:hAnsi="Arial" w:cs="Arial"/>
          <w:sz w:val="24"/>
        </w:rPr>
        <w:t>y</w:t>
      </w:r>
      <w:r w:rsidRPr="007D6ED9">
        <w:rPr>
          <w:rFonts w:ascii="Arial" w:hAnsi="Arial" w:cs="Arial"/>
          <w:sz w:val="24"/>
        </w:rPr>
        <w:t xml:space="preserve"> of the specific covered service, objective or cost center. </w:t>
      </w:r>
      <w:r w:rsidR="00D67B0F">
        <w:rPr>
          <w:rFonts w:ascii="Arial" w:hAnsi="Arial" w:cs="Arial"/>
          <w:sz w:val="24"/>
        </w:rPr>
        <w:t>An e</w:t>
      </w:r>
      <w:r w:rsidRPr="007D6ED9">
        <w:rPr>
          <w:rFonts w:ascii="Arial" w:hAnsi="Arial" w:cs="Arial"/>
          <w:sz w:val="24"/>
        </w:rPr>
        <w:t xml:space="preserve">xample of direct costs </w:t>
      </w:r>
      <w:r w:rsidR="00D67B0F">
        <w:rPr>
          <w:rFonts w:ascii="Arial" w:hAnsi="Arial" w:cs="Arial"/>
          <w:sz w:val="24"/>
        </w:rPr>
        <w:t xml:space="preserve">would </w:t>
      </w:r>
      <w:r w:rsidRPr="007D6ED9">
        <w:rPr>
          <w:rFonts w:ascii="Arial" w:hAnsi="Arial" w:cs="Arial"/>
          <w:sz w:val="24"/>
        </w:rPr>
        <w:t>include unallocated wages/salaries of employees for the time devoted and identifiable specifically to delivery of the covered services or the final cost objective such as intensive outpatient</w:t>
      </w:r>
      <w:r w:rsidR="00624F5C">
        <w:rPr>
          <w:rFonts w:ascii="Arial" w:hAnsi="Arial" w:cs="Arial"/>
          <w:sz w:val="24"/>
        </w:rPr>
        <w:t xml:space="preserve"> treatment, outpatient</w:t>
      </w:r>
      <w:r w:rsidRPr="007D6ED9">
        <w:rPr>
          <w:rFonts w:ascii="Arial" w:hAnsi="Arial" w:cs="Arial"/>
          <w:sz w:val="24"/>
        </w:rPr>
        <w:t xml:space="preserve"> treatment. Other direct costs may include direct materials, equipment, supplies, professional services and transportation that are directly acquired, consumed, or expended for the delivery of the specific covered service or objective.</w:t>
      </w:r>
    </w:p>
    <w:p w14:paraId="0AB2F813" w14:textId="0E8E0AD6" w:rsidR="00B85E6F" w:rsidRDefault="00B85E6F" w:rsidP="004407F1">
      <w:pPr>
        <w:pStyle w:val="ListParagraph"/>
        <w:numPr>
          <w:ilvl w:val="0"/>
          <w:numId w:val="6"/>
        </w:numPr>
        <w:spacing w:after="0"/>
        <w:rPr>
          <w:rFonts w:ascii="Arial" w:hAnsi="Arial" w:cs="Arial"/>
          <w:sz w:val="24"/>
        </w:rPr>
      </w:pPr>
      <w:r>
        <w:rPr>
          <w:rFonts w:ascii="Arial" w:hAnsi="Arial" w:cs="Arial"/>
          <w:sz w:val="24"/>
        </w:rPr>
        <w:t>“DMC” means Drug Medi-Cal.</w:t>
      </w:r>
    </w:p>
    <w:p w14:paraId="7A427168" w14:textId="7374DD39" w:rsidR="005A1261" w:rsidRDefault="005A1261" w:rsidP="005A1261">
      <w:pPr>
        <w:pStyle w:val="ListParagraph"/>
        <w:numPr>
          <w:ilvl w:val="0"/>
          <w:numId w:val="6"/>
        </w:numPr>
        <w:spacing w:after="0"/>
        <w:rPr>
          <w:rFonts w:ascii="Arial" w:hAnsi="Arial" w:cs="Arial"/>
          <w:sz w:val="24"/>
        </w:rPr>
      </w:pPr>
      <w:r>
        <w:rPr>
          <w:rFonts w:ascii="Arial" w:hAnsi="Arial" w:cs="Arial"/>
          <w:sz w:val="24"/>
        </w:rPr>
        <w:t>“DMC-ODS” means th</w:t>
      </w:r>
      <w:r w:rsidR="008A0411">
        <w:rPr>
          <w:rFonts w:ascii="Arial" w:hAnsi="Arial" w:cs="Arial"/>
          <w:sz w:val="24"/>
        </w:rPr>
        <w:t xml:space="preserve">e DMC Organized Delivery System, a voluntary </w:t>
      </w:r>
      <w:r>
        <w:rPr>
          <w:rFonts w:ascii="Arial" w:hAnsi="Arial" w:cs="Arial"/>
          <w:sz w:val="24"/>
        </w:rPr>
        <w:t xml:space="preserve">program </w:t>
      </w:r>
      <w:r w:rsidRPr="005A1261">
        <w:rPr>
          <w:rFonts w:ascii="Arial" w:hAnsi="Arial" w:cs="Arial"/>
          <w:sz w:val="24"/>
        </w:rPr>
        <w:t>that offers counties the opportunity to expand a</w:t>
      </w:r>
      <w:r>
        <w:rPr>
          <w:rFonts w:ascii="Arial" w:hAnsi="Arial" w:cs="Arial"/>
          <w:sz w:val="24"/>
        </w:rPr>
        <w:t>ccess to</w:t>
      </w:r>
      <w:r w:rsidR="008A0411">
        <w:rPr>
          <w:rFonts w:ascii="Arial" w:hAnsi="Arial" w:cs="Arial"/>
          <w:sz w:val="24"/>
        </w:rPr>
        <w:t xml:space="preserve"> </w:t>
      </w:r>
      <w:r>
        <w:rPr>
          <w:rFonts w:ascii="Arial" w:hAnsi="Arial" w:cs="Arial"/>
          <w:sz w:val="24"/>
        </w:rPr>
        <w:t>care for DMC beneficiaries</w:t>
      </w:r>
      <w:r w:rsidRPr="005A1261">
        <w:rPr>
          <w:rFonts w:ascii="Arial" w:hAnsi="Arial" w:cs="Arial"/>
          <w:sz w:val="24"/>
        </w:rPr>
        <w:t xml:space="preserve"> with substance use disorders. </w:t>
      </w:r>
    </w:p>
    <w:p w14:paraId="335AF92C" w14:textId="6A36009F" w:rsidR="00436C62" w:rsidRDefault="00B85E6F" w:rsidP="0041412C">
      <w:pPr>
        <w:numPr>
          <w:ilvl w:val="0"/>
          <w:numId w:val="6"/>
        </w:numPr>
        <w:spacing w:after="0"/>
        <w:rPr>
          <w:rFonts w:ascii="Arial" w:hAnsi="Arial" w:cs="Arial"/>
          <w:sz w:val="24"/>
        </w:rPr>
      </w:pPr>
      <w:r w:rsidRPr="0091129E">
        <w:rPr>
          <w:rFonts w:ascii="Arial" w:hAnsi="Arial" w:cs="Arial"/>
          <w:sz w:val="24"/>
        </w:rPr>
        <w:t xml:space="preserve">“DMC </w:t>
      </w:r>
      <w:r w:rsidR="00B520FC" w:rsidRPr="0091129E">
        <w:rPr>
          <w:rFonts w:ascii="Arial" w:hAnsi="Arial" w:cs="Arial"/>
          <w:sz w:val="24"/>
        </w:rPr>
        <w:t>u</w:t>
      </w:r>
      <w:r w:rsidRPr="0091129E">
        <w:rPr>
          <w:rFonts w:ascii="Arial" w:hAnsi="Arial" w:cs="Arial"/>
          <w:sz w:val="24"/>
        </w:rPr>
        <w:t xml:space="preserve">nreimbursable </w:t>
      </w:r>
      <w:r w:rsidR="00B520FC" w:rsidRPr="0091129E">
        <w:rPr>
          <w:rFonts w:ascii="Arial" w:hAnsi="Arial" w:cs="Arial"/>
          <w:sz w:val="24"/>
        </w:rPr>
        <w:t>c</w:t>
      </w:r>
      <w:r w:rsidRPr="0091129E">
        <w:rPr>
          <w:rFonts w:ascii="Arial" w:hAnsi="Arial" w:cs="Arial"/>
          <w:sz w:val="24"/>
        </w:rPr>
        <w:t>osts” means</w:t>
      </w:r>
      <w:r w:rsidR="00A3456E" w:rsidRPr="0091129E">
        <w:rPr>
          <w:rFonts w:ascii="Arial" w:hAnsi="Arial" w:cs="Arial"/>
          <w:sz w:val="24"/>
        </w:rPr>
        <w:t xml:space="preserve"> costs that are not </w:t>
      </w:r>
      <w:r w:rsidR="00C4411A" w:rsidRPr="0091129E">
        <w:rPr>
          <w:rFonts w:ascii="Arial" w:hAnsi="Arial" w:cs="Arial"/>
          <w:sz w:val="24"/>
        </w:rPr>
        <w:t xml:space="preserve">reimbursable </w:t>
      </w:r>
      <w:r w:rsidR="00476323" w:rsidRPr="0091129E">
        <w:rPr>
          <w:rFonts w:ascii="Arial" w:hAnsi="Arial" w:cs="Arial"/>
          <w:sz w:val="24"/>
        </w:rPr>
        <w:t xml:space="preserve">or </w:t>
      </w:r>
      <w:r w:rsidR="00A3456E" w:rsidRPr="0091129E">
        <w:rPr>
          <w:rFonts w:ascii="Arial" w:hAnsi="Arial" w:cs="Arial"/>
          <w:sz w:val="24"/>
        </w:rPr>
        <w:t xml:space="preserve">allowable </w:t>
      </w:r>
      <w:r w:rsidR="00C4411A" w:rsidRPr="0091129E">
        <w:rPr>
          <w:rFonts w:ascii="Arial" w:hAnsi="Arial" w:cs="Arial"/>
          <w:sz w:val="24"/>
        </w:rPr>
        <w:t>in determining the provider’s allowable costs in accordance to the</w:t>
      </w:r>
      <w:r w:rsidRPr="0091129E">
        <w:rPr>
          <w:rFonts w:ascii="Arial" w:hAnsi="Arial" w:cs="Arial"/>
          <w:sz w:val="24"/>
        </w:rPr>
        <w:t xml:space="preserve"> California’s </w:t>
      </w:r>
      <w:r w:rsidR="00A3456E" w:rsidRPr="0091129E">
        <w:rPr>
          <w:rFonts w:ascii="Arial" w:hAnsi="Arial" w:cs="Arial"/>
          <w:sz w:val="24"/>
        </w:rPr>
        <w:t xml:space="preserve">Medicaid </w:t>
      </w:r>
      <w:r w:rsidRPr="0091129E">
        <w:rPr>
          <w:rFonts w:ascii="Arial" w:hAnsi="Arial" w:cs="Arial"/>
          <w:sz w:val="24"/>
        </w:rPr>
        <w:t>State Plan</w:t>
      </w:r>
      <w:r w:rsidR="00C4411A" w:rsidRPr="0091129E">
        <w:rPr>
          <w:rFonts w:ascii="Arial" w:hAnsi="Arial" w:cs="Arial"/>
          <w:sz w:val="24"/>
          <w:szCs w:val="24"/>
        </w:rPr>
        <w:t>,</w:t>
      </w:r>
      <w:r w:rsidR="00476323" w:rsidRPr="0091129E">
        <w:rPr>
          <w:rFonts w:ascii="Arial" w:hAnsi="Arial" w:cs="Arial"/>
          <w:sz w:val="24"/>
          <w:szCs w:val="24"/>
        </w:rPr>
        <w:t xml:space="preserve"> </w:t>
      </w:r>
      <w:r w:rsidR="00AF35DD" w:rsidRPr="0091129E">
        <w:rPr>
          <w:rFonts w:ascii="Arial" w:hAnsi="Arial" w:cs="Arial"/>
          <w:sz w:val="24"/>
          <w:szCs w:val="24"/>
        </w:rPr>
        <w:t xml:space="preserve">the special terms and conditions of this 1115 demonstration waiver, federal and state laws and regulations, including 2 CFR Part 200 Subpart E, 42 CFR 413, Medicare Provider Reimbursement Manuals, </w:t>
      </w:r>
      <w:r w:rsidR="00C4411A" w:rsidRPr="0091129E">
        <w:rPr>
          <w:rFonts w:ascii="Arial" w:hAnsi="Arial" w:cs="Arial"/>
          <w:sz w:val="24"/>
          <w:szCs w:val="24"/>
        </w:rPr>
        <w:t xml:space="preserve">, CMS non-institutional reimbursement policy and </w:t>
      </w:r>
      <w:r w:rsidR="00E745A5" w:rsidRPr="0091129E">
        <w:rPr>
          <w:rFonts w:ascii="Arial" w:hAnsi="Arial" w:cs="Arial"/>
          <w:sz w:val="24"/>
          <w:szCs w:val="24"/>
        </w:rPr>
        <w:t>California Code of Regulations Titles 9 and 22</w:t>
      </w:r>
      <w:r w:rsidR="00AF35DD" w:rsidRPr="0091129E">
        <w:rPr>
          <w:rFonts w:ascii="Arial" w:hAnsi="Arial" w:cs="Arial"/>
          <w:sz w:val="24"/>
          <w:szCs w:val="24"/>
        </w:rPr>
        <w:t xml:space="preserve"> (to the extent that they do not conflict with federal cost principles).</w:t>
      </w:r>
      <w:r w:rsidR="00AF35DD" w:rsidRPr="0091129E">
        <w:rPr>
          <w:rFonts w:ascii="Arial" w:hAnsi="Arial" w:cs="Arial"/>
          <w:sz w:val="20"/>
          <w:szCs w:val="20"/>
        </w:rPr>
        <w:t xml:space="preserve">  </w:t>
      </w:r>
      <w:r w:rsidR="00E745A5" w:rsidRPr="0091129E">
        <w:rPr>
          <w:rFonts w:ascii="Arial" w:hAnsi="Arial" w:cs="Arial"/>
          <w:sz w:val="24"/>
        </w:rPr>
        <w:t xml:space="preserve">  </w:t>
      </w:r>
    </w:p>
    <w:p w14:paraId="4C6862F5" w14:textId="600B7A2D" w:rsidR="007D6ED9" w:rsidRPr="0091129E" w:rsidRDefault="007D6ED9" w:rsidP="0041412C">
      <w:pPr>
        <w:numPr>
          <w:ilvl w:val="0"/>
          <w:numId w:val="6"/>
        </w:numPr>
        <w:spacing w:after="0"/>
        <w:rPr>
          <w:rFonts w:ascii="Arial" w:hAnsi="Arial" w:cs="Arial"/>
          <w:sz w:val="24"/>
        </w:rPr>
      </w:pPr>
      <w:r w:rsidRPr="0091129E">
        <w:rPr>
          <w:rFonts w:ascii="Arial" w:hAnsi="Arial" w:cs="Arial"/>
          <w:sz w:val="24"/>
        </w:rPr>
        <w:t xml:space="preserve">“Indirect </w:t>
      </w:r>
      <w:r w:rsidR="00B520FC" w:rsidRPr="0091129E">
        <w:rPr>
          <w:rFonts w:ascii="Arial" w:hAnsi="Arial" w:cs="Arial"/>
          <w:sz w:val="24"/>
        </w:rPr>
        <w:t>c</w:t>
      </w:r>
      <w:r w:rsidRPr="0091129E">
        <w:rPr>
          <w:rFonts w:ascii="Arial" w:hAnsi="Arial" w:cs="Arial"/>
          <w:sz w:val="24"/>
        </w:rPr>
        <w:t>osts” means those costs: a) incurred for a common or joint objective benefi</w:t>
      </w:r>
      <w:r w:rsidR="001C05F3" w:rsidRPr="0091129E">
        <w:rPr>
          <w:rFonts w:ascii="Arial" w:hAnsi="Arial" w:cs="Arial"/>
          <w:sz w:val="24"/>
        </w:rPr>
        <w:t>t</w:t>
      </w:r>
      <w:r w:rsidRPr="0091129E">
        <w:rPr>
          <w:rFonts w:ascii="Arial" w:hAnsi="Arial" w:cs="Arial"/>
          <w:sz w:val="24"/>
        </w:rPr>
        <w:t>ing more than one cost center or objective, and b</w:t>
      </w:r>
      <w:r w:rsidR="001C05F3" w:rsidRPr="0091129E">
        <w:rPr>
          <w:rFonts w:ascii="Arial" w:hAnsi="Arial" w:cs="Arial"/>
          <w:sz w:val="24"/>
        </w:rPr>
        <w:t>)</w:t>
      </w:r>
      <w:r w:rsidRPr="0091129E">
        <w:rPr>
          <w:rFonts w:ascii="Arial" w:hAnsi="Arial" w:cs="Arial"/>
          <w:sz w:val="24"/>
        </w:rPr>
        <w:t xml:space="preserve"> are not readily identifiable and assignable to the cost center or objectives specifically benefited, without effort disproportionate to the particular cost center or objective.</w:t>
      </w:r>
      <w:r w:rsidR="00AC7CB2" w:rsidRPr="0091129E">
        <w:rPr>
          <w:rFonts w:ascii="Arial" w:hAnsi="Arial" w:cs="Arial"/>
          <w:sz w:val="24"/>
        </w:rPr>
        <w:t xml:space="preserve"> </w:t>
      </w:r>
    </w:p>
    <w:p w14:paraId="5BA91CFB" w14:textId="0A4075DC" w:rsidR="00AE79D3" w:rsidRPr="00AE79D3" w:rsidRDefault="00E90506" w:rsidP="004407F1">
      <w:pPr>
        <w:pStyle w:val="ListParagraph"/>
        <w:numPr>
          <w:ilvl w:val="0"/>
          <w:numId w:val="6"/>
        </w:numPr>
        <w:rPr>
          <w:rFonts w:ascii="Arial" w:hAnsi="Arial" w:cs="Arial"/>
          <w:sz w:val="24"/>
          <w:szCs w:val="24"/>
        </w:rPr>
      </w:pPr>
      <w:r w:rsidRPr="00AE79D3">
        <w:rPr>
          <w:rFonts w:ascii="Arial" w:hAnsi="Arial" w:cs="Arial"/>
          <w:sz w:val="24"/>
          <w:szCs w:val="24"/>
        </w:rPr>
        <w:t xml:space="preserve">“Indirect cost rate” </w:t>
      </w:r>
      <w:r w:rsidR="00AE79D3" w:rsidRPr="00AE79D3">
        <w:rPr>
          <w:rFonts w:ascii="Arial" w:hAnsi="Arial" w:cs="Arial"/>
          <w:sz w:val="24"/>
          <w:szCs w:val="24"/>
        </w:rPr>
        <w:t xml:space="preserve">means a tool for determining the proportion of indirect costs each program should bear. It is the ratio (expressed as a percentage) of the indirect costs to a direct cost base. </w:t>
      </w:r>
      <w:r w:rsidR="00C4411A">
        <w:rPr>
          <w:rFonts w:ascii="Arial" w:hAnsi="Arial" w:cs="Arial"/>
          <w:sz w:val="24"/>
          <w:szCs w:val="24"/>
        </w:rPr>
        <w:t xml:space="preserve">A provider’s indirect cost rate must be </w:t>
      </w:r>
      <w:r w:rsidR="00AE79D3">
        <w:rPr>
          <w:rFonts w:ascii="Arial" w:hAnsi="Arial" w:cs="Arial"/>
          <w:sz w:val="24"/>
          <w:szCs w:val="24"/>
        </w:rPr>
        <w:t xml:space="preserve">determined </w:t>
      </w:r>
      <w:r w:rsidR="00D829F1">
        <w:rPr>
          <w:rFonts w:ascii="Arial" w:hAnsi="Arial" w:cs="Arial"/>
          <w:sz w:val="24"/>
          <w:szCs w:val="24"/>
        </w:rPr>
        <w:t xml:space="preserve">and approved </w:t>
      </w:r>
      <w:r w:rsidR="00AE79D3">
        <w:rPr>
          <w:rFonts w:ascii="Arial" w:hAnsi="Arial" w:cs="Arial"/>
          <w:sz w:val="24"/>
          <w:szCs w:val="24"/>
        </w:rPr>
        <w:t>by a</w:t>
      </w:r>
      <w:r w:rsidR="00C4411A">
        <w:rPr>
          <w:rFonts w:ascii="Arial" w:hAnsi="Arial" w:cs="Arial"/>
          <w:sz w:val="24"/>
          <w:szCs w:val="24"/>
        </w:rPr>
        <w:t xml:space="preserve"> cognizant agency (</w:t>
      </w:r>
      <w:r w:rsidR="00AE79D3" w:rsidRPr="00AE79D3">
        <w:rPr>
          <w:rFonts w:ascii="Arial" w:hAnsi="Arial" w:cs="Arial"/>
          <w:sz w:val="24"/>
          <w:szCs w:val="24"/>
        </w:rPr>
        <w:t>federal or state agency</w:t>
      </w:r>
      <w:r w:rsidR="00C4411A">
        <w:rPr>
          <w:rFonts w:ascii="Arial" w:hAnsi="Arial" w:cs="Arial"/>
          <w:sz w:val="24"/>
          <w:szCs w:val="24"/>
        </w:rPr>
        <w:t>)</w:t>
      </w:r>
      <w:r w:rsidR="00AE79D3" w:rsidRPr="00AE79D3">
        <w:rPr>
          <w:rFonts w:ascii="Arial" w:hAnsi="Arial" w:cs="Arial"/>
          <w:sz w:val="24"/>
          <w:szCs w:val="24"/>
        </w:rPr>
        <w:t xml:space="preserve">. </w:t>
      </w:r>
    </w:p>
    <w:p w14:paraId="01C9AA12" w14:textId="77777777" w:rsidR="007D6ED9" w:rsidRDefault="007D6ED9" w:rsidP="004407F1">
      <w:pPr>
        <w:pStyle w:val="ListParagraph"/>
        <w:numPr>
          <w:ilvl w:val="0"/>
          <w:numId w:val="6"/>
        </w:numPr>
        <w:spacing w:after="0"/>
        <w:rPr>
          <w:rFonts w:ascii="Arial" w:hAnsi="Arial" w:cs="Arial"/>
          <w:sz w:val="24"/>
        </w:rPr>
      </w:pPr>
      <w:r w:rsidRPr="007D6ED9">
        <w:rPr>
          <w:rFonts w:ascii="Arial" w:hAnsi="Arial" w:cs="Arial"/>
          <w:sz w:val="24"/>
        </w:rPr>
        <w:t>“IOT” means intensive outpatient treatment.</w:t>
      </w:r>
    </w:p>
    <w:p w14:paraId="65F624E7" w14:textId="65B5BF76" w:rsidR="00223BE6" w:rsidRDefault="00223BE6" w:rsidP="004407F1">
      <w:pPr>
        <w:pStyle w:val="ListParagraph"/>
        <w:numPr>
          <w:ilvl w:val="0"/>
          <w:numId w:val="6"/>
        </w:numPr>
        <w:spacing w:after="0"/>
        <w:rPr>
          <w:rFonts w:ascii="Arial" w:hAnsi="Arial" w:cs="Arial"/>
          <w:sz w:val="24"/>
        </w:rPr>
      </w:pPr>
      <w:r>
        <w:rPr>
          <w:rFonts w:ascii="Arial" w:hAnsi="Arial" w:cs="Arial"/>
          <w:sz w:val="24"/>
        </w:rPr>
        <w:lastRenderedPageBreak/>
        <w:t xml:space="preserve"> “Legal Entity” means an association, corporation, partnership, trust, or individual that has a legal standing and is certified to provide SUD services within the State of California.</w:t>
      </w:r>
    </w:p>
    <w:p w14:paraId="308E22B2" w14:textId="77777777" w:rsidR="007D6ED9" w:rsidRDefault="007D6ED9" w:rsidP="004407F1">
      <w:pPr>
        <w:pStyle w:val="ListParagraph"/>
        <w:numPr>
          <w:ilvl w:val="0"/>
          <w:numId w:val="6"/>
        </w:numPr>
        <w:spacing w:after="0"/>
        <w:rPr>
          <w:rFonts w:ascii="Arial" w:hAnsi="Arial" w:cs="Arial"/>
          <w:sz w:val="24"/>
        </w:rPr>
      </w:pPr>
      <w:r w:rsidRPr="007D6ED9">
        <w:rPr>
          <w:rFonts w:ascii="Arial" w:hAnsi="Arial" w:cs="Arial"/>
          <w:sz w:val="24"/>
        </w:rPr>
        <w:t>“NTP” means narcotic treatment program treatment.</w:t>
      </w:r>
    </w:p>
    <w:p w14:paraId="57D5DC4F" w14:textId="0A8BBB09" w:rsidR="007D6ED9" w:rsidRDefault="007D6ED9" w:rsidP="004407F1">
      <w:pPr>
        <w:pStyle w:val="ListParagraph"/>
        <w:numPr>
          <w:ilvl w:val="0"/>
          <w:numId w:val="6"/>
        </w:numPr>
        <w:spacing w:after="0"/>
        <w:rPr>
          <w:rFonts w:ascii="Arial" w:hAnsi="Arial" w:cs="Arial"/>
          <w:sz w:val="24"/>
        </w:rPr>
      </w:pPr>
      <w:r w:rsidRPr="007D6ED9">
        <w:rPr>
          <w:rFonts w:ascii="Arial" w:hAnsi="Arial" w:cs="Arial"/>
          <w:sz w:val="24"/>
        </w:rPr>
        <w:t>“</w:t>
      </w:r>
      <w:r w:rsidR="00624F5C">
        <w:rPr>
          <w:rFonts w:ascii="Arial" w:hAnsi="Arial" w:cs="Arial"/>
          <w:sz w:val="24"/>
        </w:rPr>
        <w:t>OT</w:t>
      </w:r>
      <w:r w:rsidRPr="007D6ED9">
        <w:rPr>
          <w:rFonts w:ascii="Arial" w:hAnsi="Arial" w:cs="Arial"/>
          <w:sz w:val="24"/>
        </w:rPr>
        <w:t>” means outpatient drug free treatment.</w:t>
      </w:r>
    </w:p>
    <w:p w14:paraId="783380F7" w14:textId="4ACE393C" w:rsidR="007E5595" w:rsidRPr="007E5595" w:rsidRDefault="00E745A5" w:rsidP="00AD210B">
      <w:pPr>
        <w:pStyle w:val="ListParagraph"/>
        <w:numPr>
          <w:ilvl w:val="0"/>
          <w:numId w:val="6"/>
        </w:numPr>
        <w:spacing w:after="0"/>
        <w:rPr>
          <w:rFonts w:ascii="Arial" w:hAnsi="Arial" w:cs="Arial"/>
          <w:sz w:val="24"/>
        </w:rPr>
      </w:pPr>
      <w:r>
        <w:rPr>
          <w:rFonts w:ascii="Arial" w:hAnsi="Arial" w:cs="Arial"/>
          <w:sz w:val="24"/>
        </w:rPr>
        <w:t xml:space="preserve"> “Percent of Direct Costs” means a tool for determining the proportion of indirect costs each program should bear.  It is the ratio (expressed as a percentage) of each modality or cost center’s direct costs to the total direct costs. </w:t>
      </w:r>
    </w:p>
    <w:p w14:paraId="40D1D733" w14:textId="23CCE47A" w:rsidR="00096698" w:rsidRDefault="003A3084" w:rsidP="00096698">
      <w:pPr>
        <w:numPr>
          <w:ilvl w:val="0"/>
          <w:numId w:val="6"/>
        </w:numPr>
        <w:spacing w:after="0"/>
        <w:rPr>
          <w:rFonts w:ascii="Arial" w:hAnsi="Arial" w:cs="Arial"/>
          <w:sz w:val="24"/>
        </w:rPr>
      </w:pPr>
      <w:r w:rsidRPr="007E5595" w:rsidDel="003A3084">
        <w:rPr>
          <w:rFonts w:ascii="Arial" w:hAnsi="Arial" w:cs="Arial"/>
          <w:sz w:val="24"/>
        </w:rPr>
        <w:t xml:space="preserve"> </w:t>
      </w:r>
      <w:r w:rsidR="00A3456E" w:rsidRPr="007E5595">
        <w:rPr>
          <w:rFonts w:ascii="Arial" w:hAnsi="Arial" w:cs="Arial"/>
          <w:sz w:val="24"/>
        </w:rPr>
        <w:t>“SUD” means substance use disorder.</w:t>
      </w:r>
    </w:p>
    <w:p w14:paraId="0665EE39" w14:textId="0CBC03FB" w:rsidR="00436C62" w:rsidRPr="007E5595" w:rsidRDefault="00436C62" w:rsidP="00096698">
      <w:pPr>
        <w:numPr>
          <w:ilvl w:val="0"/>
          <w:numId w:val="6"/>
        </w:numPr>
        <w:spacing w:after="0"/>
        <w:rPr>
          <w:rFonts w:ascii="Arial" w:hAnsi="Arial" w:cs="Arial"/>
          <w:sz w:val="24"/>
        </w:rPr>
      </w:pPr>
      <w:r>
        <w:rPr>
          <w:rFonts w:ascii="Arial" w:hAnsi="Arial" w:cs="Arial"/>
          <w:sz w:val="24"/>
        </w:rPr>
        <w:t>“WM” means withdrawal management.</w:t>
      </w:r>
    </w:p>
    <w:p w14:paraId="318E9DF5" w14:textId="77777777" w:rsidR="00261AD1" w:rsidRDefault="00261AD1" w:rsidP="00096698">
      <w:pPr>
        <w:spacing w:after="0"/>
        <w:rPr>
          <w:rFonts w:ascii="Arial" w:hAnsi="Arial" w:cs="Arial"/>
          <w:b/>
          <w:sz w:val="24"/>
        </w:rPr>
      </w:pPr>
    </w:p>
    <w:p w14:paraId="4D399099" w14:textId="453F8999" w:rsidR="00096698" w:rsidRDefault="007D6ED9" w:rsidP="00096698">
      <w:pPr>
        <w:spacing w:after="0"/>
        <w:rPr>
          <w:rFonts w:ascii="Arial" w:hAnsi="Arial" w:cs="Arial"/>
          <w:b/>
          <w:sz w:val="24"/>
        </w:rPr>
      </w:pPr>
      <w:r>
        <w:rPr>
          <w:rFonts w:ascii="Arial" w:hAnsi="Arial" w:cs="Arial"/>
          <w:b/>
          <w:sz w:val="24"/>
        </w:rPr>
        <w:t>C</w:t>
      </w:r>
      <w:r w:rsidR="00096698">
        <w:rPr>
          <w:rFonts w:ascii="Arial" w:hAnsi="Arial" w:cs="Arial"/>
          <w:b/>
          <w:sz w:val="24"/>
        </w:rPr>
        <w:t>.</w:t>
      </w:r>
      <w:r w:rsidR="00096698">
        <w:rPr>
          <w:rFonts w:ascii="Arial" w:hAnsi="Arial" w:cs="Arial"/>
          <w:b/>
          <w:sz w:val="24"/>
        </w:rPr>
        <w:tab/>
        <w:t>REPORTING REQUIREMENTS</w:t>
      </w:r>
    </w:p>
    <w:p w14:paraId="346D2BF4" w14:textId="77777777" w:rsidR="00307B30" w:rsidRDefault="00307B30" w:rsidP="00307B30">
      <w:pPr>
        <w:pStyle w:val="ListParagraph"/>
        <w:spacing w:after="0"/>
        <w:ind w:left="1080"/>
        <w:rPr>
          <w:rFonts w:ascii="Arial" w:hAnsi="Arial" w:cs="Arial"/>
          <w:sz w:val="24"/>
        </w:rPr>
      </w:pPr>
    </w:p>
    <w:p w14:paraId="5B3BF878" w14:textId="0E99D81F" w:rsidR="00864D25" w:rsidRDefault="00307B30" w:rsidP="00606A16">
      <w:pPr>
        <w:pStyle w:val="ListParagraph"/>
        <w:numPr>
          <w:ilvl w:val="0"/>
          <w:numId w:val="7"/>
        </w:numPr>
        <w:spacing w:after="0" w:line="240" w:lineRule="auto"/>
        <w:ind w:left="1080"/>
        <w:rPr>
          <w:rFonts w:ascii="Arial" w:hAnsi="Arial" w:cs="Arial"/>
          <w:sz w:val="24"/>
        </w:rPr>
      </w:pPr>
      <w:r>
        <w:rPr>
          <w:rFonts w:ascii="Arial" w:hAnsi="Arial" w:cs="Arial"/>
          <w:sz w:val="24"/>
        </w:rPr>
        <w:t xml:space="preserve">Reimbursement under the DMC program is available only for allowable costs incurred for providing DMC services to eligible Medi-Cal beneficiaries. </w:t>
      </w:r>
      <w:r w:rsidR="00410B6F">
        <w:rPr>
          <w:rFonts w:ascii="Arial" w:hAnsi="Arial" w:cs="Arial"/>
          <w:sz w:val="24"/>
        </w:rPr>
        <w:t xml:space="preserve"> </w:t>
      </w:r>
      <w:r w:rsidR="00096698" w:rsidRPr="003F2D71">
        <w:rPr>
          <w:rFonts w:ascii="Arial" w:hAnsi="Arial" w:cs="Arial"/>
          <w:sz w:val="24"/>
        </w:rPr>
        <w:t xml:space="preserve">The allowable </w:t>
      </w:r>
      <w:r w:rsidR="0022460B" w:rsidRPr="003F2D71">
        <w:rPr>
          <w:rFonts w:ascii="Arial" w:hAnsi="Arial" w:cs="Arial"/>
          <w:sz w:val="24"/>
        </w:rPr>
        <w:t xml:space="preserve">costs </w:t>
      </w:r>
      <w:r w:rsidR="00864D25" w:rsidRPr="003F2D71">
        <w:rPr>
          <w:rFonts w:ascii="Arial" w:hAnsi="Arial" w:cs="Arial"/>
          <w:sz w:val="24"/>
        </w:rPr>
        <w:t xml:space="preserve">must be determined in accordance with Medicare cost reimbursement principles in 42 </w:t>
      </w:r>
      <w:r w:rsidR="009D0D4C">
        <w:rPr>
          <w:rFonts w:ascii="Arial" w:hAnsi="Arial" w:cs="Arial"/>
          <w:sz w:val="24"/>
        </w:rPr>
        <w:t>Code of Federal Regulations (</w:t>
      </w:r>
      <w:r w:rsidR="00864D25" w:rsidRPr="003F2D71">
        <w:rPr>
          <w:rFonts w:ascii="Arial" w:hAnsi="Arial" w:cs="Arial"/>
          <w:sz w:val="24"/>
        </w:rPr>
        <w:t>CFR</w:t>
      </w:r>
      <w:r w:rsidR="009D0D4C">
        <w:rPr>
          <w:rFonts w:ascii="Arial" w:hAnsi="Arial" w:cs="Arial"/>
          <w:sz w:val="24"/>
        </w:rPr>
        <w:t>)</w:t>
      </w:r>
      <w:r w:rsidR="00864D25" w:rsidRPr="003F2D71">
        <w:rPr>
          <w:rFonts w:ascii="Arial" w:hAnsi="Arial" w:cs="Arial"/>
          <w:sz w:val="24"/>
        </w:rPr>
        <w:t xml:space="preserve"> Part 413</w:t>
      </w:r>
      <w:r w:rsidR="00476323">
        <w:rPr>
          <w:rFonts w:ascii="Arial" w:hAnsi="Arial" w:cs="Arial"/>
          <w:sz w:val="24"/>
        </w:rPr>
        <w:t>, CMS-Pub. 15-1, Section</w:t>
      </w:r>
      <w:r w:rsidR="00864D25" w:rsidRPr="003F2D71">
        <w:rPr>
          <w:rFonts w:ascii="Arial" w:hAnsi="Arial" w:cs="Arial"/>
          <w:sz w:val="24"/>
        </w:rPr>
        <w:t xml:space="preserve"> 1861 of the Federal Social Secur</w:t>
      </w:r>
      <w:r w:rsidR="003F47B3">
        <w:rPr>
          <w:rFonts w:ascii="Arial" w:hAnsi="Arial" w:cs="Arial"/>
          <w:sz w:val="24"/>
        </w:rPr>
        <w:t xml:space="preserve">ity Act (42 USC, Section 1395x); </w:t>
      </w:r>
      <w:r w:rsidR="009370AE">
        <w:rPr>
          <w:rFonts w:ascii="Arial" w:hAnsi="Arial" w:cs="Arial"/>
          <w:sz w:val="24"/>
        </w:rPr>
        <w:t xml:space="preserve">2 CFR Part 200 Subpart E, CMS non-institutional reimbursement policy, </w:t>
      </w:r>
      <w:r w:rsidR="003F47B3">
        <w:rPr>
          <w:rFonts w:ascii="Arial" w:hAnsi="Arial" w:cs="Arial"/>
          <w:sz w:val="24"/>
        </w:rPr>
        <w:t>and in</w:t>
      </w:r>
      <w:r w:rsidR="00EE46E3">
        <w:rPr>
          <w:rFonts w:ascii="Arial" w:hAnsi="Arial" w:cs="Arial"/>
          <w:sz w:val="24"/>
        </w:rPr>
        <w:t xml:space="preserve"> Drug Medi-Cal regulations </w:t>
      </w:r>
      <w:r w:rsidR="003F47B3">
        <w:rPr>
          <w:rFonts w:ascii="Arial" w:hAnsi="Arial" w:cs="Arial"/>
          <w:sz w:val="24"/>
        </w:rPr>
        <w:t xml:space="preserve">contained </w:t>
      </w:r>
      <w:r w:rsidR="00EE46E3">
        <w:rPr>
          <w:rFonts w:ascii="Arial" w:hAnsi="Arial" w:cs="Arial"/>
          <w:sz w:val="24"/>
        </w:rPr>
        <w:t xml:space="preserve">in California Code of Regulations </w:t>
      </w:r>
      <w:r w:rsidR="009D0D4C">
        <w:rPr>
          <w:rFonts w:ascii="Arial" w:hAnsi="Arial" w:cs="Arial"/>
          <w:sz w:val="24"/>
        </w:rPr>
        <w:t xml:space="preserve">(CCR) </w:t>
      </w:r>
      <w:r w:rsidR="00EE46E3">
        <w:rPr>
          <w:rFonts w:ascii="Arial" w:hAnsi="Arial" w:cs="Arial"/>
          <w:sz w:val="24"/>
        </w:rPr>
        <w:t>Title 9 and Title 22</w:t>
      </w:r>
      <w:r w:rsidR="003F47B3">
        <w:rPr>
          <w:rFonts w:ascii="Arial" w:hAnsi="Arial" w:cs="Arial"/>
          <w:sz w:val="24"/>
        </w:rPr>
        <w:t>.</w:t>
      </w:r>
    </w:p>
    <w:p w14:paraId="26B802B7" w14:textId="77777777" w:rsidR="009218A8" w:rsidRDefault="009218A8" w:rsidP="00606A16">
      <w:pPr>
        <w:pStyle w:val="ListParagraph"/>
        <w:spacing w:after="0" w:line="240" w:lineRule="auto"/>
        <w:ind w:left="1440"/>
        <w:rPr>
          <w:rFonts w:ascii="Arial" w:hAnsi="Arial" w:cs="Arial"/>
          <w:sz w:val="24"/>
        </w:rPr>
      </w:pPr>
    </w:p>
    <w:p w14:paraId="5F8FD78E" w14:textId="70121104" w:rsidR="008A0411" w:rsidRDefault="00307B30" w:rsidP="00606A16">
      <w:pPr>
        <w:pStyle w:val="ListParagraph"/>
        <w:spacing w:line="240" w:lineRule="auto"/>
        <w:ind w:left="1080"/>
        <w:rPr>
          <w:rFonts w:ascii="Arial" w:hAnsi="Arial" w:cs="Arial"/>
          <w:sz w:val="24"/>
        </w:rPr>
      </w:pPr>
      <w:r w:rsidRPr="0091129E">
        <w:rPr>
          <w:rFonts w:ascii="Arial" w:hAnsi="Arial" w:cs="Arial"/>
          <w:sz w:val="24"/>
        </w:rPr>
        <w:t xml:space="preserve">Providers must maintain fiscal and statistical records for the period covered by the cost report that are accurate and sufficiently detailed to substantiate the cost report data. </w:t>
      </w:r>
      <w:r w:rsidR="00410B6F">
        <w:rPr>
          <w:rFonts w:ascii="Arial" w:hAnsi="Arial" w:cs="Arial"/>
          <w:sz w:val="24"/>
        </w:rPr>
        <w:t xml:space="preserve"> </w:t>
      </w:r>
      <w:r w:rsidRPr="0091129E">
        <w:rPr>
          <w:rFonts w:ascii="Arial" w:hAnsi="Arial" w:cs="Arial"/>
          <w:sz w:val="24"/>
        </w:rPr>
        <w:t>The records must be maintained until the later of</w:t>
      </w:r>
      <w:r w:rsidR="004B4426" w:rsidRPr="0091129E">
        <w:rPr>
          <w:rFonts w:ascii="Arial" w:hAnsi="Arial" w:cs="Arial"/>
          <w:sz w:val="24"/>
        </w:rPr>
        <w:t>:</w:t>
      </w:r>
      <w:r w:rsidRPr="0091129E">
        <w:rPr>
          <w:rFonts w:ascii="Arial" w:hAnsi="Arial" w:cs="Arial"/>
          <w:sz w:val="24"/>
        </w:rPr>
        <w:t xml:space="preserve"> 1) a financial audit is conducted: or 2) a period of </w:t>
      </w:r>
      <w:r w:rsidR="00410B6F">
        <w:rPr>
          <w:rFonts w:ascii="Arial" w:hAnsi="Arial" w:cs="Arial"/>
          <w:sz w:val="24"/>
        </w:rPr>
        <w:t>ten</w:t>
      </w:r>
      <w:r w:rsidRPr="0091129E">
        <w:rPr>
          <w:rFonts w:ascii="Arial" w:hAnsi="Arial" w:cs="Arial"/>
          <w:sz w:val="24"/>
        </w:rPr>
        <w:t xml:space="preserve"> years</w:t>
      </w:r>
      <w:r w:rsidR="008A0411" w:rsidRPr="0091129E">
        <w:rPr>
          <w:rFonts w:ascii="Arial" w:hAnsi="Arial" w:cs="Arial"/>
          <w:sz w:val="24"/>
        </w:rPr>
        <w:t xml:space="preserve">. </w:t>
      </w:r>
    </w:p>
    <w:p w14:paraId="41C3A0BC" w14:textId="77777777" w:rsidR="008A0411" w:rsidRPr="00307B30" w:rsidRDefault="008A0411" w:rsidP="00606A16">
      <w:pPr>
        <w:pStyle w:val="ListParagraph"/>
        <w:spacing w:line="240" w:lineRule="auto"/>
        <w:ind w:left="1080"/>
        <w:rPr>
          <w:rFonts w:ascii="Arial" w:hAnsi="Arial" w:cs="Arial"/>
          <w:sz w:val="24"/>
        </w:rPr>
      </w:pPr>
    </w:p>
    <w:p w14:paraId="2CB9611B" w14:textId="77777777" w:rsidR="00B83313" w:rsidRDefault="00864D25" w:rsidP="00606A16">
      <w:pPr>
        <w:pStyle w:val="ListParagraph"/>
        <w:numPr>
          <w:ilvl w:val="0"/>
          <w:numId w:val="7"/>
        </w:numPr>
        <w:spacing w:after="0" w:line="240" w:lineRule="auto"/>
        <w:ind w:left="1080"/>
        <w:rPr>
          <w:rFonts w:ascii="Arial" w:hAnsi="Arial" w:cs="Arial"/>
          <w:sz w:val="24"/>
        </w:rPr>
      </w:pPr>
      <w:r w:rsidRPr="00864D25">
        <w:rPr>
          <w:rFonts w:ascii="Arial" w:hAnsi="Arial" w:cs="Arial"/>
          <w:sz w:val="24"/>
        </w:rPr>
        <w:t xml:space="preserve">All records of funds expended </w:t>
      </w:r>
      <w:r w:rsidR="003F2D71">
        <w:rPr>
          <w:rFonts w:ascii="Arial" w:hAnsi="Arial" w:cs="Arial"/>
          <w:sz w:val="24"/>
        </w:rPr>
        <w:t>and cost</w:t>
      </w:r>
      <w:r w:rsidR="00D36C59">
        <w:rPr>
          <w:rFonts w:ascii="Arial" w:hAnsi="Arial" w:cs="Arial"/>
          <w:sz w:val="24"/>
        </w:rPr>
        <w:t>s</w:t>
      </w:r>
      <w:r w:rsidR="003F2D71">
        <w:rPr>
          <w:rFonts w:ascii="Arial" w:hAnsi="Arial" w:cs="Arial"/>
          <w:sz w:val="24"/>
        </w:rPr>
        <w:t xml:space="preserve"> reported </w:t>
      </w:r>
      <w:r w:rsidRPr="00864D25">
        <w:rPr>
          <w:rFonts w:ascii="Arial" w:hAnsi="Arial" w:cs="Arial"/>
          <w:sz w:val="24"/>
        </w:rPr>
        <w:t xml:space="preserve">are subject to review and audit by DHCS and/or the federal government pursuant to </w:t>
      </w:r>
      <w:r w:rsidR="003F2D71">
        <w:rPr>
          <w:rFonts w:ascii="Arial" w:hAnsi="Arial" w:cs="Arial"/>
          <w:sz w:val="24"/>
        </w:rPr>
        <w:t>the Welfare and Institutions Code Section 14124.24(g)(2) and 14170</w:t>
      </w:r>
      <w:r w:rsidR="00410B6F">
        <w:rPr>
          <w:rFonts w:ascii="Arial" w:hAnsi="Arial" w:cs="Arial"/>
          <w:sz w:val="24"/>
        </w:rPr>
        <w:t xml:space="preserve"> and the Code of Federal Regulations Part 438</w:t>
      </w:r>
      <w:r w:rsidR="00B83313">
        <w:rPr>
          <w:rFonts w:ascii="Arial" w:hAnsi="Arial" w:cs="Arial"/>
          <w:sz w:val="24"/>
        </w:rPr>
        <w:t>.</w:t>
      </w:r>
    </w:p>
    <w:p w14:paraId="50CC8AC3" w14:textId="0D6AD70C" w:rsidR="00B83313" w:rsidRDefault="00B83313" w:rsidP="00606A16">
      <w:pPr>
        <w:pStyle w:val="ListParagraph"/>
        <w:spacing w:after="0" w:line="240" w:lineRule="auto"/>
        <w:ind w:left="1080"/>
        <w:rPr>
          <w:rFonts w:ascii="Arial" w:hAnsi="Arial" w:cs="Arial"/>
          <w:sz w:val="24"/>
        </w:rPr>
      </w:pPr>
    </w:p>
    <w:p w14:paraId="152ACD1D" w14:textId="74081520" w:rsidR="0012369D" w:rsidRPr="0012369D" w:rsidRDefault="009D0D4C" w:rsidP="00606A16">
      <w:pPr>
        <w:pStyle w:val="ListParagraph"/>
        <w:numPr>
          <w:ilvl w:val="0"/>
          <w:numId w:val="7"/>
        </w:numPr>
        <w:spacing w:after="0" w:line="240" w:lineRule="auto"/>
        <w:ind w:left="1080"/>
        <w:rPr>
          <w:rFonts w:ascii="Arial" w:hAnsi="Arial" w:cs="Arial"/>
          <w:b/>
          <w:sz w:val="24"/>
        </w:rPr>
      </w:pPr>
      <w:r w:rsidRPr="0012369D">
        <w:rPr>
          <w:rFonts w:ascii="Arial" w:hAnsi="Arial" w:cs="Arial"/>
          <w:sz w:val="24"/>
        </w:rPr>
        <w:t xml:space="preserve">Providers must compute allowable costs and determine their allocation methodology in accordance with applicable cost reimbursement principles in 42 CFR Part 413, CMS-Pub 15-1, </w:t>
      </w:r>
      <w:r w:rsidR="00726F7C" w:rsidRPr="0012369D">
        <w:rPr>
          <w:rFonts w:ascii="Arial" w:hAnsi="Arial" w:cs="Arial"/>
          <w:sz w:val="24"/>
        </w:rPr>
        <w:t xml:space="preserve">2 CFR Part 200 Subpart E, CMS non-institutional reimbursement policy, </w:t>
      </w:r>
      <w:r w:rsidRPr="0012369D">
        <w:rPr>
          <w:rFonts w:ascii="Arial" w:hAnsi="Arial" w:cs="Arial"/>
          <w:sz w:val="24"/>
        </w:rPr>
        <w:t xml:space="preserve">and CCR Title 9 and Title 22. </w:t>
      </w:r>
      <w:r w:rsidR="00410B6F">
        <w:rPr>
          <w:rFonts w:ascii="Arial" w:hAnsi="Arial" w:cs="Arial"/>
          <w:sz w:val="24"/>
        </w:rPr>
        <w:t xml:space="preserve"> </w:t>
      </w:r>
      <w:r w:rsidRPr="0012369D">
        <w:rPr>
          <w:rFonts w:ascii="Arial" w:hAnsi="Arial" w:cs="Arial"/>
          <w:sz w:val="24"/>
        </w:rPr>
        <w:t>The cost allocation plan must identify, accumulate, and distribute allowable direct and indirect costs and identify the allocation methods used for distribution</w:t>
      </w:r>
      <w:r w:rsidR="00726F7C" w:rsidRPr="0012369D">
        <w:rPr>
          <w:rFonts w:ascii="Arial" w:hAnsi="Arial" w:cs="Arial"/>
          <w:sz w:val="24"/>
        </w:rPr>
        <w:t xml:space="preserve"> of direct costs</w:t>
      </w:r>
      <w:r w:rsidRPr="0012369D">
        <w:rPr>
          <w:rFonts w:ascii="Arial" w:hAnsi="Arial" w:cs="Arial"/>
          <w:sz w:val="24"/>
        </w:rPr>
        <w:t>.</w:t>
      </w:r>
      <w:r w:rsidR="0012369D" w:rsidRPr="0012369D">
        <w:rPr>
          <w:rFonts w:ascii="Arial" w:hAnsi="Arial" w:cs="Arial"/>
          <w:sz w:val="24"/>
        </w:rPr>
        <w:t xml:space="preserve">  For consistency, efficiency</w:t>
      </w:r>
      <w:r w:rsidR="00972392">
        <w:rPr>
          <w:rFonts w:ascii="Arial" w:hAnsi="Arial" w:cs="Arial"/>
          <w:sz w:val="24"/>
        </w:rPr>
        <w:t>,</w:t>
      </w:r>
      <w:r w:rsidR="0012369D" w:rsidRPr="0012369D">
        <w:rPr>
          <w:rFonts w:ascii="Arial" w:hAnsi="Arial" w:cs="Arial"/>
          <w:sz w:val="24"/>
        </w:rPr>
        <w:t xml:space="preserve"> and compliance with federal laws and regulations, the </w:t>
      </w:r>
      <w:r w:rsidR="00972392">
        <w:rPr>
          <w:rFonts w:ascii="Arial" w:hAnsi="Arial" w:cs="Arial"/>
          <w:sz w:val="24"/>
        </w:rPr>
        <w:t>c</w:t>
      </w:r>
      <w:r w:rsidR="0012369D" w:rsidRPr="0012369D">
        <w:rPr>
          <w:rFonts w:ascii="Arial" w:hAnsi="Arial" w:cs="Arial"/>
          <w:sz w:val="24"/>
        </w:rPr>
        <w:t xml:space="preserve">ost report identifies direct cost categories for each modality and </w:t>
      </w:r>
      <w:r w:rsidR="00972392">
        <w:rPr>
          <w:rFonts w:ascii="Arial" w:hAnsi="Arial" w:cs="Arial"/>
          <w:sz w:val="24"/>
        </w:rPr>
        <w:t xml:space="preserve">uses </w:t>
      </w:r>
      <w:r w:rsidR="0012369D" w:rsidRPr="0012369D">
        <w:rPr>
          <w:rFonts w:ascii="Arial" w:hAnsi="Arial" w:cs="Arial"/>
          <w:sz w:val="24"/>
        </w:rPr>
        <w:t xml:space="preserve">a standard methodology of percentage of total direct cost to allocate </w:t>
      </w:r>
      <w:r w:rsidR="0012369D" w:rsidRPr="0012369D">
        <w:rPr>
          <w:rFonts w:ascii="Arial" w:hAnsi="Arial" w:cs="Arial"/>
          <w:sz w:val="24"/>
        </w:rPr>
        <w:lastRenderedPageBreak/>
        <w:t xml:space="preserve">indirect costs. </w:t>
      </w:r>
      <w:r w:rsidR="00972392">
        <w:rPr>
          <w:rFonts w:ascii="Arial" w:hAnsi="Arial" w:cs="Arial"/>
          <w:sz w:val="24"/>
        </w:rPr>
        <w:t xml:space="preserve"> </w:t>
      </w:r>
      <w:r w:rsidR="0012369D" w:rsidRPr="0012369D">
        <w:rPr>
          <w:rFonts w:ascii="Arial" w:hAnsi="Arial" w:cs="Arial"/>
          <w:sz w:val="24"/>
        </w:rPr>
        <w:t xml:space="preserve">DHCS recognizes that there are other allocation bases (such as percentage of direct salaries and wages) that result in an equitable distribution of indirect administrative overhead.  However, if a provider wishes to use an allocation basis other than </w:t>
      </w:r>
      <w:r w:rsidR="00972392">
        <w:rPr>
          <w:rFonts w:ascii="Arial" w:hAnsi="Arial" w:cs="Arial"/>
          <w:sz w:val="24"/>
        </w:rPr>
        <w:t xml:space="preserve">percentage of total direct cost, </w:t>
      </w:r>
      <w:r w:rsidR="0012369D" w:rsidRPr="0012369D">
        <w:rPr>
          <w:rFonts w:ascii="Arial" w:hAnsi="Arial" w:cs="Arial"/>
          <w:sz w:val="24"/>
        </w:rPr>
        <w:t>the provider must obtain their respective county’s prior approval</w:t>
      </w:r>
      <w:r w:rsidR="00972392">
        <w:rPr>
          <w:rFonts w:ascii="Arial" w:hAnsi="Arial" w:cs="Arial"/>
          <w:sz w:val="24"/>
        </w:rPr>
        <w:t xml:space="preserve">, and the </w:t>
      </w:r>
      <w:r w:rsidR="0012369D" w:rsidRPr="0012369D">
        <w:rPr>
          <w:rFonts w:ascii="Arial" w:hAnsi="Arial" w:cs="Arial"/>
          <w:sz w:val="24"/>
        </w:rPr>
        <w:t>county must seek DHCS’s approval</w:t>
      </w:r>
      <w:r w:rsidR="00972392">
        <w:rPr>
          <w:rFonts w:ascii="Arial" w:hAnsi="Arial" w:cs="Arial"/>
          <w:sz w:val="24"/>
        </w:rPr>
        <w:t xml:space="preserve">. </w:t>
      </w:r>
      <w:r w:rsidR="00410B6F">
        <w:rPr>
          <w:rFonts w:ascii="Arial" w:hAnsi="Arial" w:cs="Arial"/>
          <w:sz w:val="24"/>
        </w:rPr>
        <w:t xml:space="preserve"> </w:t>
      </w:r>
      <w:r w:rsidR="0012369D" w:rsidRPr="0012369D">
        <w:rPr>
          <w:rFonts w:ascii="Arial" w:hAnsi="Arial" w:cs="Arial"/>
          <w:sz w:val="24"/>
        </w:rPr>
        <w:t xml:space="preserve">DHCS will make a final determination of the propriety of the methodology used.  </w:t>
      </w:r>
    </w:p>
    <w:p w14:paraId="1AF30BF9" w14:textId="77777777" w:rsidR="0012369D" w:rsidRPr="0012369D" w:rsidRDefault="0012369D" w:rsidP="0012369D">
      <w:pPr>
        <w:pStyle w:val="ListParagraph"/>
        <w:spacing w:after="0"/>
        <w:ind w:left="1080"/>
        <w:rPr>
          <w:rFonts w:ascii="Arial" w:hAnsi="Arial" w:cs="Arial"/>
          <w:b/>
          <w:sz w:val="24"/>
        </w:rPr>
      </w:pPr>
    </w:p>
    <w:p w14:paraId="13D0960B" w14:textId="7844181F" w:rsidR="00615A22" w:rsidRDefault="007D6ED9" w:rsidP="0041412C">
      <w:pPr>
        <w:spacing w:line="240" w:lineRule="auto"/>
        <w:rPr>
          <w:rFonts w:ascii="Arial" w:hAnsi="Arial" w:cs="Arial"/>
          <w:b/>
          <w:sz w:val="24"/>
        </w:rPr>
      </w:pPr>
      <w:r>
        <w:rPr>
          <w:rFonts w:ascii="Arial" w:hAnsi="Arial" w:cs="Arial"/>
          <w:b/>
          <w:sz w:val="24"/>
        </w:rPr>
        <w:t>D</w:t>
      </w:r>
      <w:r w:rsidR="00615A22" w:rsidRPr="00383F30">
        <w:rPr>
          <w:rFonts w:ascii="Arial" w:hAnsi="Arial" w:cs="Arial"/>
          <w:b/>
          <w:sz w:val="24"/>
        </w:rPr>
        <w:t>.</w:t>
      </w:r>
      <w:r w:rsidR="00615A22" w:rsidRPr="00383F30">
        <w:rPr>
          <w:rFonts w:ascii="Arial" w:hAnsi="Arial" w:cs="Arial"/>
          <w:b/>
          <w:sz w:val="24"/>
        </w:rPr>
        <w:tab/>
        <w:t xml:space="preserve">COST REPORT </w:t>
      </w:r>
      <w:r w:rsidR="00864D25">
        <w:rPr>
          <w:rFonts w:ascii="Arial" w:hAnsi="Arial" w:cs="Arial"/>
          <w:b/>
          <w:sz w:val="24"/>
        </w:rPr>
        <w:t>WORK</w:t>
      </w:r>
      <w:r w:rsidR="00606A16">
        <w:rPr>
          <w:rFonts w:ascii="Arial" w:hAnsi="Arial" w:cs="Arial"/>
          <w:b/>
          <w:sz w:val="24"/>
        </w:rPr>
        <w:t>SHEET</w:t>
      </w:r>
      <w:r w:rsidR="00864D25">
        <w:rPr>
          <w:rFonts w:ascii="Arial" w:hAnsi="Arial" w:cs="Arial"/>
          <w:b/>
          <w:sz w:val="24"/>
        </w:rPr>
        <w:t xml:space="preserve"> </w:t>
      </w:r>
      <w:r w:rsidR="00615A22" w:rsidRPr="00383F30">
        <w:rPr>
          <w:rFonts w:ascii="Arial" w:hAnsi="Arial" w:cs="Arial"/>
          <w:b/>
          <w:sz w:val="24"/>
        </w:rPr>
        <w:t>SECTIONS AT A GLANCE</w:t>
      </w:r>
    </w:p>
    <w:tbl>
      <w:tblPr>
        <w:tblStyle w:val="TableGrid"/>
        <w:tblW w:w="0" w:type="auto"/>
        <w:tblInd w:w="828" w:type="dxa"/>
        <w:tblLook w:val="04A0" w:firstRow="1" w:lastRow="0" w:firstColumn="1" w:lastColumn="0" w:noHBand="0" w:noVBand="1"/>
      </w:tblPr>
      <w:tblGrid>
        <w:gridCol w:w="1327"/>
        <w:gridCol w:w="7195"/>
      </w:tblGrid>
      <w:tr w:rsidR="00D31E31" w14:paraId="3B2349A6" w14:textId="77777777" w:rsidTr="00D31E31">
        <w:tc>
          <w:tcPr>
            <w:tcW w:w="1327" w:type="dxa"/>
          </w:tcPr>
          <w:p w14:paraId="781906CD" w14:textId="47C315AA" w:rsidR="00D31E31" w:rsidRPr="00383F30" w:rsidRDefault="00D31E31" w:rsidP="00730EE5">
            <w:pPr>
              <w:pStyle w:val="NoSpacing"/>
              <w:rPr>
                <w:rFonts w:ascii="Arial" w:hAnsi="Arial" w:cs="Arial"/>
                <w:sz w:val="24"/>
                <w:szCs w:val="24"/>
              </w:rPr>
            </w:pPr>
            <w:r>
              <w:rPr>
                <w:rFonts w:ascii="Arial" w:hAnsi="Arial" w:cs="Arial"/>
                <w:sz w:val="24"/>
                <w:szCs w:val="24"/>
              </w:rPr>
              <w:t>Tab 1</w:t>
            </w:r>
          </w:p>
        </w:tc>
        <w:tc>
          <w:tcPr>
            <w:tcW w:w="7195" w:type="dxa"/>
          </w:tcPr>
          <w:p w14:paraId="7BB71EBE" w14:textId="6E70CA97" w:rsidR="00D31E31" w:rsidRPr="00383F30" w:rsidRDefault="00D31E31" w:rsidP="00730EE5">
            <w:pPr>
              <w:pStyle w:val="NoSpacing"/>
              <w:rPr>
                <w:rFonts w:ascii="Arial" w:hAnsi="Arial" w:cs="Arial"/>
                <w:sz w:val="24"/>
                <w:szCs w:val="24"/>
              </w:rPr>
            </w:pPr>
            <w:r w:rsidRPr="00383F30">
              <w:rPr>
                <w:rFonts w:ascii="Arial" w:hAnsi="Arial" w:cs="Arial"/>
                <w:sz w:val="24"/>
                <w:szCs w:val="24"/>
              </w:rPr>
              <w:t>Provider Information and Certification</w:t>
            </w:r>
          </w:p>
        </w:tc>
      </w:tr>
      <w:tr w:rsidR="00D31E31" w14:paraId="00F9E2C7" w14:textId="77777777" w:rsidTr="00D31E31">
        <w:tc>
          <w:tcPr>
            <w:tcW w:w="1327" w:type="dxa"/>
          </w:tcPr>
          <w:p w14:paraId="35AE9522" w14:textId="531EA470" w:rsidR="00D31E31" w:rsidRPr="00383F30" w:rsidRDefault="00D31E31" w:rsidP="00730EE5">
            <w:pPr>
              <w:pStyle w:val="NoSpacing"/>
              <w:rPr>
                <w:rFonts w:ascii="Arial" w:hAnsi="Arial" w:cs="Arial"/>
                <w:sz w:val="24"/>
                <w:szCs w:val="24"/>
              </w:rPr>
            </w:pPr>
            <w:r>
              <w:rPr>
                <w:rFonts w:ascii="Arial" w:hAnsi="Arial" w:cs="Arial"/>
                <w:sz w:val="24"/>
                <w:szCs w:val="24"/>
              </w:rPr>
              <w:t>Tab 2</w:t>
            </w:r>
          </w:p>
        </w:tc>
        <w:tc>
          <w:tcPr>
            <w:tcW w:w="7195" w:type="dxa"/>
          </w:tcPr>
          <w:p w14:paraId="53CD2B10" w14:textId="7326E1BA" w:rsidR="00D31E31" w:rsidRPr="00383F30" w:rsidRDefault="00D31E31" w:rsidP="00730EE5">
            <w:pPr>
              <w:pStyle w:val="NoSpacing"/>
              <w:rPr>
                <w:rFonts w:ascii="Arial" w:hAnsi="Arial" w:cs="Arial"/>
                <w:sz w:val="24"/>
                <w:szCs w:val="24"/>
              </w:rPr>
            </w:pPr>
            <w:r w:rsidRPr="00383F30">
              <w:rPr>
                <w:rFonts w:ascii="Arial" w:hAnsi="Arial" w:cs="Arial"/>
                <w:sz w:val="24"/>
                <w:szCs w:val="24"/>
              </w:rPr>
              <w:t xml:space="preserve">Overall </w:t>
            </w:r>
            <w:r>
              <w:rPr>
                <w:rFonts w:ascii="Arial" w:hAnsi="Arial" w:cs="Arial"/>
                <w:sz w:val="24"/>
                <w:szCs w:val="24"/>
              </w:rPr>
              <w:t>Cost Summary</w:t>
            </w:r>
          </w:p>
        </w:tc>
      </w:tr>
      <w:tr w:rsidR="00D31E31" w14:paraId="261F68FC" w14:textId="77777777" w:rsidTr="00D31E31">
        <w:tc>
          <w:tcPr>
            <w:tcW w:w="1327" w:type="dxa"/>
          </w:tcPr>
          <w:p w14:paraId="4B5A815C" w14:textId="288D47C3" w:rsidR="00D31E31" w:rsidRPr="00383F30" w:rsidRDefault="00D31E31" w:rsidP="00730EE5">
            <w:pPr>
              <w:pStyle w:val="NoSpacing"/>
              <w:rPr>
                <w:rFonts w:ascii="Arial" w:hAnsi="Arial" w:cs="Arial"/>
                <w:sz w:val="24"/>
                <w:szCs w:val="24"/>
              </w:rPr>
            </w:pPr>
            <w:r>
              <w:rPr>
                <w:rFonts w:ascii="Arial" w:hAnsi="Arial" w:cs="Arial"/>
                <w:sz w:val="24"/>
                <w:szCs w:val="24"/>
              </w:rPr>
              <w:t>Tab 3</w:t>
            </w:r>
          </w:p>
        </w:tc>
        <w:tc>
          <w:tcPr>
            <w:tcW w:w="7195" w:type="dxa"/>
          </w:tcPr>
          <w:p w14:paraId="0D7D973B" w14:textId="059BF6DF" w:rsidR="00D31E31" w:rsidRPr="00383F30" w:rsidRDefault="00D31E31" w:rsidP="00730EE5">
            <w:pPr>
              <w:pStyle w:val="NoSpacing"/>
              <w:rPr>
                <w:rFonts w:ascii="Arial" w:hAnsi="Arial" w:cs="Arial"/>
                <w:sz w:val="24"/>
                <w:szCs w:val="24"/>
              </w:rPr>
            </w:pPr>
            <w:r w:rsidRPr="00383F30">
              <w:rPr>
                <w:rFonts w:ascii="Arial" w:hAnsi="Arial" w:cs="Arial"/>
                <w:sz w:val="24"/>
                <w:szCs w:val="24"/>
              </w:rPr>
              <w:t xml:space="preserve">Overall </w:t>
            </w:r>
            <w:r>
              <w:rPr>
                <w:rFonts w:ascii="Arial" w:hAnsi="Arial" w:cs="Arial"/>
                <w:sz w:val="24"/>
                <w:szCs w:val="24"/>
              </w:rPr>
              <w:t xml:space="preserve">Detailed </w:t>
            </w:r>
            <w:r w:rsidRPr="00383F30">
              <w:rPr>
                <w:rFonts w:ascii="Arial" w:hAnsi="Arial" w:cs="Arial"/>
                <w:sz w:val="24"/>
                <w:szCs w:val="24"/>
              </w:rPr>
              <w:t>Cost</w:t>
            </w:r>
            <w:r>
              <w:rPr>
                <w:rFonts w:ascii="Arial" w:hAnsi="Arial" w:cs="Arial"/>
                <w:sz w:val="24"/>
                <w:szCs w:val="24"/>
              </w:rPr>
              <w:t>s</w:t>
            </w:r>
          </w:p>
        </w:tc>
      </w:tr>
      <w:tr w:rsidR="00D31E31" w14:paraId="338FC77B" w14:textId="77777777" w:rsidTr="00D31E31">
        <w:tc>
          <w:tcPr>
            <w:tcW w:w="1327" w:type="dxa"/>
          </w:tcPr>
          <w:p w14:paraId="1FEC76EA" w14:textId="507A0D07" w:rsidR="00D31E31" w:rsidRDefault="00D31E31" w:rsidP="00C07163">
            <w:pPr>
              <w:pStyle w:val="NoSpacing"/>
              <w:rPr>
                <w:rFonts w:ascii="Arial" w:hAnsi="Arial" w:cs="Arial"/>
                <w:sz w:val="24"/>
                <w:szCs w:val="24"/>
              </w:rPr>
            </w:pPr>
            <w:r>
              <w:rPr>
                <w:rFonts w:ascii="Arial" w:hAnsi="Arial" w:cs="Arial"/>
                <w:sz w:val="24"/>
                <w:szCs w:val="24"/>
              </w:rPr>
              <w:t>Tab 4</w:t>
            </w:r>
          </w:p>
        </w:tc>
        <w:tc>
          <w:tcPr>
            <w:tcW w:w="7195" w:type="dxa"/>
          </w:tcPr>
          <w:p w14:paraId="1E0B5385" w14:textId="6A2170AC" w:rsidR="00D31E31" w:rsidRPr="00383F30" w:rsidRDefault="00D31E31" w:rsidP="00C07163">
            <w:pPr>
              <w:pStyle w:val="NoSpacing"/>
              <w:rPr>
                <w:rFonts w:ascii="Arial" w:hAnsi="Arial" w:cs="Arial"/>
                <w:sz w:val="24"/>
                <w:szCs w:val="24"/>
              </w:rPr>
            </w:pPr>
            <w:r>
              <w:rPr>
                <w:rFonts w:ascii="Arial" w:hAnsi="Arial" w:cs="Arial"/>
                <w:sz w:val="24"/>
                <w:szCs w:val="24"/>
              </w:rPr>
              <w:t xml:space="preserve">Outpatient Treatment (OT) </w:t>
            </w:r>
            <w:r w:rsidRPr="00383F30">
              <w:rPr>
                <w:rFonts w:ascii="Arial" w:hAnsi="Arial" w:cs="Arial"/>
                <w:sz w:val="24"/>
                <w:szCs w:val="24"/>
              </w:rPr>
              <w:t>Detailed Costs</w:t>
            </w:r>
          </w:p>
        </w:tc>
      </w:tr>
      <w:tr w:rsidR="00D31E31" w14:paraId="359BD62D" w14:textId="77777777" w:rsidTr="00D31E31">
        <w:tc>
          <w:tcPr>
            <w:tcW w:w="1327" w:type="dxa"/>
          </w:tcPr>
          <w:p w14:paraId="4240EABC" w14:textId="1E49FC8F" w:rsidR="00D31E31" w:rsidRDefault="00D31E31" w:rsidP="00C07163">
            <w:pPr>
              <w:pStyle w:val="NoSpacing"/>
              <w:rPr>
                <w:rFonts w:ascii="Arial" w:hAnsi="Arial" w:cs="Arial"/>
                <w:sz w:val="24"/>
                <w:szCs w:val="24"/>
              </w:rPr>
            </w:pPr>
            <w:r>
              <w:rPr>
                <w:rFonts w:ascii="Arial" w:hAnsi="Arial" w:cs="Arial"/>
                <w:sz w:val="24"/>
                <w:szCs w:val="24"/>
              </w:rPr>
              <w:t>Tab 5</w:t>
            </w:r>
          </w:p>
        </w:tc>
        <w:tc>
          <w:tcPr>
            <w:tcW w:w="7195" w:type="dxa"/>
          </w:tcPr>
          <w:p w14:paraId="2DE497AF" w14:textId="4D9AAF39" w:rsidR="00D31E31" w:rsidRPr="00383F30" w:rsidRDefault="00D31E31" w:rsidP="00C07163">
            <w:pPr>
              <w:pStyle w:val="NoSpacing"/>
              <w:rPr>
                <w:rFonts w:ascii="Arial" w:hAnsi="Arial" w:cs="Arial"/>
                <w:sz w:val="24"/>
                <w:szCs w:val="24"/>
              </w:rPr>
            </w:pPr>
            <w:r>
              <w:rPr>
                <w:rFonts w:ascii="Arial" w:hAnsi="Arial" w:cs="Arial"/>
                <w:sz w:val="24"/>
                <w:szCs w:val="24"/>
              </w:rPr>
              <w:t>OT</w:t>
            </w:r>
            <w:r w:rsidRPr="00383F30">
              <w:rPr>
                <w:rFonts w:ascii="Arial" w:hAnsi="Arial" w:cs="Arial"/>
                <w:sz w:val="24"/>
                <w:szCs w:val="24"/>
              </w:rPr>
              <w:t xml:space="preserve"> Detailed Adjustments</w:t>
            </w:r>
            <w:r>
              <w:t xml:space="preserve"> </w:t>
            </w:r>
          </w:p>
        </w:tc>
      </w:tr>
      <w:tr w:rsidR="00D31E31" w14:paraId="25623083" w14:textId="77777777" w:rsidTr="00D31E31">
        <w:tc>
          <w:tcPr>
            <w:tcW w:w="1327" w:type="dxa"/>
          </w:tcPr>
          <w:p w14:paraId="16048A7F" w14:textId="3181F7D8" w:rsidR="00D31E31" w:rsidRDefault="00D31E31" w:rsidP="00C07163">
            <w:pPr>
              <w:pStyle w:val="NoSpacing"/>
              <w:rPr>
                <w:rFonts w:ascii="Arial" w:hAnsi="Arial" w:cs="Arial"/>
                <w:sz w:val="24"/>
                <w:szCs w:val="24"/>
              </w:rPr>
            </w:pPr>
            <w:r>
              <w:rPr>
                <w:rFonts w:ascii="Arial" w:hAnsi="Arial" w:cs="Arial"/>
                <w:sz w:val="24"/>
                <w:szCs w:val="24"/>
              </w:rPr>
              <w:t>Tab 6</w:t>
            </w:r>
          </w:p>
        </w:tc>
        <w:tc>
          <w:tcPr>
            <w:tcW w:w="7195" w:type="dxa"/>
          </w:tcPr>
          <w:p w14:paraId="36744404" w14:textId="4F79FDA5" w:rsidR="00D31E31" w:rsidRPr="00383F30" w:rsidRDefault="00D31E31" w:rsidP="00C07163">
            <w:pPr>
              <w:pStyle w:val="NoSpacing"/>
              <w:rPr>
                <w:rFonts w:ascii="Arial" w:hAnsi="Arial" w:cs="Arial"/>
                <w:sz w:val="24"/>
                <w:szCs w:val="24"/>
              </w:rPr>
            </w:pPr>
            <w:r>
              <w:rPr>
                <w:rFonts w:ascii="Arial" w:hAnsi="Arial" w:cs="Arial"/>
                <w:sz w:val="24"/>
                <w:szCs w:val="24"/>
              </w:rPr>
              <w:t>OT</w:t>
            </w:r>
            <w:r w:rsidRPr="00383F30">
              <w:rPr>
                <w:rFonts w:ascii="Arial" w:hAnsi="Arial" w:cs="Arial"/>
                <w:sz w:val="24"/>
                <w:szCs w:val="24"/>
              </w:rPr>
              <w:t xml:space="preserve"> Cost Allocation</w:t>
            </w:r>
          </w:p>
        </w:tc>
      </w:tr>
      <w:tr w:rsidR="00D31E31" w14:paraId="6AB1A64F" w14:textId="77777777" w:rsidTr="00D31E31">
        <w:tc>
          <w:tcPr>
            <w:tcW w:w="1327" w:type="dxa"/>
          </w:tcPr>
          <w:p w14:paraId="4507DFE5" w14:textId="012ED024" w:rsidR="00D31E31" w:rsidRDefault="00D31E31" w:rsidP="00C07163">
            <w:pPr>
              <w:pStyle w:val="NoSpacing"/>
              <w:rPr>
                <w:rFonts w:ascii="Arial" w:hAnsi="Arial" w:cs="Arial"/>
                <w:sz w:val="24"/>
                <w:szCs w:val="24"/>
              </w:rPr>
            </w:pPr>
            <w:r>
              <w:rPr>
                <w:rFonts w:ascii="Arial" w:hAnsi="Arial" w:cs="Arial"/>
                <w:sz w:val="24"/>
                <w:szCs w:val="24"/>
              </w:rPr>
              <w:t>Tab 7</w:t>
            </w:r>
          </w:p>
        </w:tc>
        <w:tc>
          <w:tcPr>
            <w:tcW w:w="7195" w:type="dxa"/>
          </w:tcPr>
          <w:p w14:paraId="42EBCA03" w14:textId="4741DEA9" w:rsidR="00D31E31" w:rsidRPr="00383F30" w:rsidRDefault="00D31E31" w:rsidP="00C07163">
            <w:pPr>
              <w:pStyle w:val="NoSpacing"/>
              <w:rPr>
                <w:rFonts w:ascii="Arial" w:hAnsi="Arial" w:cs="Arial"/>
                <w:sz w:val="24"/>
                <w:szCs w:val="24"/>
              </w:rPr>
            </w:pPr>
            <w:r>
              <w:rPr>
                <w:rFonts w:ascii="Arial" w:hAnsi="Arial" w:cs="Arial"/>
                <w:sz w:val="24"/>
                <w:szCs w:val="24"/>
              </w:rPr>
              <w:t>OT</w:t>
            </w:r>
            <w:r w:rsidRPr="00383F30">
              <w:rPr>
                <w:rFonts w:ascii="Arial" w:hAnsi="Arial" w:cs="Arial"/>
                <w:sz w:val="24"/>
                <w:szCs w:val="24"/>
              </w:rPr>
              <w:t xml:space="preserve"> Reimbursed Units</w:t>
            </w:r>
          </w:p>
        </w:tc>
      </w:tr>
      <w:tr w:rsidR="00D31E31" w14:paraId="3D60305D" w14:textId="77777777" w:rsidTr="00D31E31">
        <w:tc>
          <w:tcPr>
            <w:tcW w:w="1327" w:type="dxa"/>
          </w:tcPr>
          <w:p w14:paraId="622C9A81" w14:textId="551A4970" w:rsidR="00D31E31" w:rsidRDefault="00D31E31" w:rsidP="00C07163">
            <w:pPr>
              <w:pStyle w:val="NoSpacing"/>
              <w:rPr>
                <w:rFonts w:ascii="Arial" w:hAnsi="Arial" w:cs="Arial"/>
                <w:sz w:val="24"/>
                <w:szCs w:val="24"/>
              </w:rPr>
            </w:pPr>
            <w:r>
              <w:rPr>
                <w:rFonts w:ascii="Arial" w:hAnsi="Arial" w:cs="Arial"/>
                <w:sz w:val="24"/>
                <w:szCs w:val="24"/>
              </w:rPr>
              <w:t>Tab 8</w:t>
            </w:r>
          </w:p>
        </w:tc>
        <w:tc>
          <w:tcPr>
            <w:tcW w:w="7195" w:type="dxa"/>
          </w:tcPr>
          <w:p w14:paraId="1BEF10B2" w14:textId="47ABA305" w:rsidR="00D31E31" w:rsidRDefault="00D31E31" w:rsidP="00C07163">
            <w:pPr>
              <w:pStyle w:val="NoSpacing"/>
              <w:rPr>
                <w:rFonts w:ascii="Arial" w:hAnsi="Arial" w:cs="Arial"/>
                <w:sz w:val="24"/>
                <w:szCs w:val="24"/>
              </w:rPr>
            </w:pPr>
            <w:r>
              <w:rPr>
                <w:rFonts w:ascii="Arial" w:hAnsi="Arial" w:cs="Arial"/>
                <w:sz w:val="24"/>
                <w:szCs w:val="24"/>
              </w:rPr>
              <w:t>OT Comparison</w:t>
            </w:r>
          </w:p>
        </w:tc>
      </w:tr>
      <w:tr w:rsidR="00D31E31" w14:paraId="63452191" w14:textId="77777777" w:rsidTr="00D31E31">
        <w:tc>
          <w:tcPr>
            <w:tcW w:w="1327" w:type="dxa"/>
          </w:tcPr>
          <w:p w14:paraId="2763140B" w14:textId="7397053A" w:rsidR="00D31E31" w:rsidRDefault="00D31E31" w:rsidP="00C07163">
            <w:pPr>
              <w:pStyle w:val="NoSpacing"/>
              <w:rPr>
                <w:rFonts w:ascii="Arial" w:hAnsi="Arial" w:cs="Arial"/>
                <w:sz w:val="24"/>
                <w:szCs w:val="24"/>
              </w:rPr>
            </w:pPr>
            <w:r>
              <w:rPr>
                <w:rFonts w:ascii="Arial" w:hAnsi="Arial" w:cs="Arial"/>
                <w:sz w:val="24"/>
                <w:szCs w:val="24"/>
              </w:rPr>
              <w:t>Tab 9</w:t>
            </w:r>
          </w:p>
        </w:tc>
        <w:tc>
          <w:tcPr>
            <w:tcW w:w="7195" w:type="dxa"/>
          </w:tcPr>
          <w:p w14:paraId="17318EEF" w14:textId="64302E0A" w:rsidR="00D31E31" w:rsidRDefault="00D31E31" w:rsidP="00C07163">
            <w:pPr>
              <w:pStyle w:val="NoSpacing"/>
              <w:rPr>
                <w:rFonts w:ascii="Arial" w:hAnsi="Arial" w:cs="Arial"/>
                <w:sz w:val="24"/>
                <w:szCs w:val="24"/>
              </w:rPr>
            </w:pPr>
            <w:r>
              <w:rPr>
                <w:rFonts w:ascii="Arial" w:hAnsi="Arial" w:cs="Arial"/>
                <w:sz w:val="24"/>
                <w:szCs w:val="24"/>
              </w:rPr>
              <w:t>Partial Hospitalization (PH) Detailed Costs</w:t>
            </w:r>
          </w:p>
        </w:tc>
      </w:tr>
      <w:tr w:rsidR="00D31E31" w14:paraId="34A22BBA" w14:textId="77777777" w:rsidTr="00D31E31">
        <w:tc>
          <w:tcPr>
            <w:tcW w:w="1327" w:type="dxa"/>
          </w:tcPr>
          <w:p w14:paraId="14164336" w14:textId="1F56B2D9" w:rsidR="00D31E31" w:rsidRDefault="00D31E31" w:rsidP="00C07163">
            <w:pPr>
              <w:pStyle w:val="NoSpacing"/>
              <w:rPr>
                <w:rFonts w:ascii="Arial" w:hAnsi="Arial" w:cs="Arial"/>
                <w:sz w:val="24"/>
                <w:szCs w:val="24"/>
              </w:rPr>
            </w:pPr>
            <w:r>
              <w:rPr>
                <w:rFonts w:ascii="Arial" w:hAnsi="Arial" w:cs="Arial"/>
                <w:sz w:val="24"/>
                <w:szCs w:val="24"/>
              </w:rPr>
              <w:t>Tab 10</w:t>
            </w:r>
          </w:p>
        </w:tc>
        <w:tc>
          <w:tcPr>
            <w:tcW w:w="7195" w:type="dxa"/>
          </w:tcPr>
          <w:p w14:paraId="6E25A119" w14:textId="1F04BEBE" w:rsidR="00D31E31" w:rsidRDefault="00D31E31" w:rsidP="00C07163">
            <w:pPr>
              <w:pStyle w:val="NoSpacing"/>
              <w:rPr>
                <w:rFonts w:ascii="Arial" w:hAnsi="Arial" w:cs="Arial"/>
                <w:sz w:val="24"/>
                <w:szCs w:val="24"/>
              </w:rPr>
            </w:pPr>
            <w:r>
              <w:rPr>
                <w:rFonts w:ascii="Arial" w:hAnsi="Arial" w:cs="Arial"/>
                <w:sz w:val="24"/>
                <w:szCs w:val="24"/>
              </w:rPr>
              <w:t>PH Detailed Adjustments</w:t>
            </w:r>
          </w:p>
        </w:tc>
      </w:tr>
      <w:tr w:rsidR="00D31E31" w14:paraId="246B1D19" w14:textId="77777777" w:rsidTr="00D31E31">
        <w:tc>
          <w:tcPr>
            <w:tcW w:w="1327" w:type="dxa"/>
          </w:tcPr>
          <w:p w14:paraId="3B60F0FE" w14:textId="02A6F319" w:rsidR="00D31E31" w:rsidRDefault="00D31E31" w:rsidP="00C07163">
            <w:pPr>
              <w:pStyle w:val="NoSpacing"/>
              <w:rPr>
                <w:rFonts w:ascii="Arial" w:hAnsi="Arial" w:cs="Arial"/>
                <w:sz w:val="24"/>
                <w:szCs w:val="24"/>
              </w:rPr>
            </w:pPr>
            <w:r>
              <w:rPr>
                <w:rFonts w:ascii="Arial" w:hAnsi="Arial" w:cs="Arial"/>
                <w:sz w:val="24"/>
                <w:szCs w:val="24"/>
              </w:rPr>
              <w:t>Tab 11</w:t>
            </w:r>
          </w:p>
        </w:tc>
        <w:tc>
          <w:tcPr>
            <w:tcW w:w="7195" w:type="dxa"/>
          </w:tcPr>
          <w:p w14:paraId="4C744AEC" w14:textId="351D2D55" w:rsidR="00D31E31" w:rsidRDefault="00D31E31" w:rsidP="00C07163">
            <w:pPr>
              <w:pStyle w:val="NoSpacing"/>
              <w:rPr>
                <w:rFonts w:ascii="Arial" w:hAnsi="Arial" w:cs="Arial"/>
                <w:sz w:val="24"/>
                <w:szCs w:val="24"/>
              </w:rPr>
            </w:pPr>
            <w:r>
              <w:rPr>
                <w:rFonts w:ascii="Arial" w:hAnsi="Arial" w:cs="Arial"/>
                <w:sz w:val="24"/>
                <w:szCs w:val="24"/>
              </w:rPr>
              <w:t>PH Cost Allocation</w:t>
            </w:r>
          </w:p>
        </w:tc>
      </w:tr>
      <w:tr w:rsidR="00D31E31" w14:paraId="32679927" w14:textId="77777777" w:rsidTr="00D31E31">
        <w:tc>
          <w:tcPr>
            <w:tcW w:w="1327" w:type="dxa"/>
          </w:tcPr>
          <w:p w14:paraId="4AE0A47C" w14:textId="5D54225E" w:rsidR="00D31E31" w:rsidRDefault="00D31E31" w:rsidP="00C07163">
            <w:pPr>
              <w:pStyle w:val="NoSpacing"/>
              <w:rPr>
                <w:rFonts w:ascii="Arial" w:hAnsi="Arial" w:cs="Arial"/>
                <w:sz w:val="24"/>
                <w:szCs w:val="24"/>
              </w:rPr>
            </w:pPr>
            <w:r>
              <w:rPr>
                <w:rFonts w:ascii="Arial" w:hAnsi="Arial" w:cs="Arial"/>
                <w:sz w:val="24"/>
                <w:szCs w:val="24"/>
              </w:rPr>
              <w:t>Tab 12</w:t>
            </w:r>
          </w:p>
        </w:tc>
        <w:tc>
          <w:tcPr>
            <w:tcW w:w="7195" w:type="dxa"/>
          </w:tcPr>
          <w:p w14:paraId="3C4807FF" w14:textId="110A1552" w:rsidR="00D31E31" w:rsidRDefault="00D31E31" w:rsidP="00C07163">
            <w:pPr>
              <w:pStyle w:val="NoSpacing"/>
              <w:rPr>
                <w:rFonts w:ascii="Arial" w:hAnsi="Arial" w:cs="Arial"/>
                <w:sz w:val="24"/>
                <w:szCs w:val="24"/>
              </w:rPr>
            </w:pPr>
            <w:r>
              <w:rPr>
                <w:rFonts w:ascii="Arial" w:hAnsi="Arial" w:cs="Arial"/>
                <w:sz w:val="24"/>
                <w:szCs w:val="24"/>
              </w:rPr>
              <w:t>PH Reimbursed Units</w:t>
            </w:r>
          </w:p>
        </w:tc>
      </w:tr>
      <w:tr w:rsidR="00D31E31" w14:paraId="1B1775F0" w14:textId="77777777" w:rsidTr="00D31E31">
        <w:tc>
          <w:tcPr>
            <w:tcW w:w="1327" w:type="dxa"/>
          </w:tcPr>
          <w:p w14:paraId="1E995931" w14:textId="1F0D9B0A" w:rsidR="00D31E31" w:rsidRPr="00383F30" w:rsidRDefault="00D31E31" w:rsidP="00C07163">
            <w:pPr>
              <w:pStyle w:val="NoSpacing"/>
              <w:rPr>
                <w:rFonts w:ascii="Arial" w:hAnsi="Arial" w:cs="Arial"/>
                <w:sz w:val="24"/>
                <w:szCs w:val="24"/>
              </w:rPr>
            </w:pPr>
            <w:r>
              <w:rPr>
                <w:rFonts w:ascii="Arial" w:hAnsi="Arial" w:cs="Arial"/>
                <w:sz w:val="24"/>
                <w:szCs w:val="24"/>
              </w:rPr>
              <w:t>Tab 13</w:t>
            </w:r>
          </w:p>
        </w:tc>
        <w:tc>
          <w:tcPr>
            <w:tcW w:w="7195" w:type="dxa"/>
          </w:tcPr>
          <w:p w14:paraId="2380B11D" w14:textId="44F45574" w:rsidR="00D31E31" w:rsidRPr="00383F30" w:rsidRDefault="00D31E31" w:rsidP="00C07163">
            <w:pPr>
              <w:pStyle w:val="NoSpacing"/>
              <w:rPr>
                <w:rFonts w:ascii="Arial" w:hAnsi="Arial" w:cs="Arial"/>
                <w:sz w:val="24"/>
                <w:szCs w:val="24"/>
              </w:rPr>
            </w:pPr>
            <w:r>
              <w:rPr>
                <w:rFonts w:ascii="Arial" w:hAnsi="Arial" w:cs="Arial"/>
                <w:sz w:val="24"/>
                <w:szCs w:val="24"/>
              </w:rPr>
              <w:t>PH Comparison</w:t>
            </w:r>
          </w:p>
        </w:tc>
      </w:tr>
      <w:tr w:rsidR="00D31E31" w14:paraId="6E75DF0D" w14:textId="77777777" w:rsidTr="00D31E31">
        <w:tc>
          <w:tcPr>
            <w:tcW w:w="1327" w:type="dxa"/>
          </w:tcPr>
          <w:p w14:paraId="1208B3D8" w14:textId="7051229B" w:rsidR="00D31E31" w:rsidRPr="00383F30" w:rsidRDefault="00D31E31" w:rsidP="00C07163">
            <w:pPr>
              <w:pStyle w:val="NoSpacing"/>
              <w:rPr>
                <w:rFonts w:ascii="Arial" w:hAnsi="Arial" w:cs="Arial"/>
                <w:sz w:val="24"/>
                <w:szCs w:val="24"/>
              </w:rPr>
            </w:pPr>
            <w:r>
              <w:rPr>
                <w:rFonts w:ascii="Arial" w:hAnsi="Arial" w:cs="Arial"/>
                <w:sz w:val="24"/>
                <w:szCs w:val="24"/>
              </w:rPr>
              <w:t>Tab 14</w:t>
            </w:r>
          </w:p>
        </w:tc>
        <w:tc>
          <w:tcPr>
            <w:tcW w:w="7195" w:type="dxa"/>
          </w:tcPr>
          <w:p w14:paraId="4B6B4D00" w14:textId="7BFF73C1" w:rsidR="00D31E31" w:rsidRPr="00383F30" w:rsidRDefault="00D31E31" w:rsidP="00C07163">
            <w:pPr>
              <w:pStyle w:val="NoSpacing"/>
              <w:rPr>
                <w:rFonts w:ascii="Arial" w:hAnsi="Arial" w:cs="Arial"/>
                <w:sz w:val="24"/>
                <w:szCs w:val="24"/>
              </w:rPr>
            </w:pPr>
            <w:r w:rsidRPr="00383F30">
              <w:rPr>
                <w:rFonts w:ascii="Arial" w:hAnsi="Arial" w:cs="Arial"/>
                <w:sz w:val="24"/>
                <w:szCs w:val="24"/>
              </w:rPr>
              <w:t>I</w:t>
            </w:r>
            <w:r>
              <w:rPr>
                <w:rFonts w:ascii="Arial" w:hAnsi="Arial" w:cs="Arial"/>
                <w:sz w:val="24"/>
                <w:szCs w:val="24"/>
              </w:rPr>
              <w:t>ntensive Outpatient Treatment (I</w:t>
            </w:r>
            <w:r w:rsidRPr="00383F30">
              <w:rPr>
                <w:rFonts w:ascii="Arial" w:hAnsi="Arial" w:cs="Arial"/>
                <w:sz w:val="24"/>
                <w:szCs w:val="24"/>
              </w:rPr>
              <w:t>OT</w:t>
            </w:r>
            <w:r>
              <w:rPr>
                <w:rFonts w:ascii="Arial" w:hAnsi="Arial" w:cs="Arial"/>
                <w:sz w:val="24"/>
                <w:szCs w:val="24"/>
              </w:rPr>
              <w:t>)</w:t>
            </w:r>
            <w:r w:rsidRPr="00383F30">
              <w:rPr>
                <w:rFonts w:ascii="Arial" w:hAnsi="Arial" w:cs="Arial"/>
                <w:sz w:val="24"/>
                <w:szCs w:val="24"/>
              </w:rPr>
              <w:t xml:space="preserve"> Detailed Costs</w:t>
            </w:r>
          </w:p>
        </w:tc>
      </w:tr>
      <w:tr w:rsidR="00D31E31" w14:paraId="453E3EEF" w14:textId="77777777" w:rsidTr="00D31E31">
        <w:tc>
          <w:tcPr>
            <w:tcW w:w="1327" w:type="dxa"/>
          </w:tcPr>
          <w:p w14:paraId="4D6DC972" w14:textId="4BBE829C" w:rsidR="00D31E31" w:rsidRPr="00383F30" w:rsidRDefault="00D31E31" w:rsidP="00C07163">
            <w:pPr>
              <w:pStyle w:val="NoSpacing"/>
              <w:rPr>
                <w:rFonts w:ascii="Arial" w:hAnsi="Arial" w:cs="Arial"/>
                <w:sz w:val="24"/>
                <w:szCs w:val="24"/>
              </w:rPr>
            </w:pPr>
            <w:r>
              <w:rPr>
                <w:rFonts w:ascii="Arial" w:hAnsi="Arial" w:cs="Arial"/>
                <w:sz w:val="24"/>
                <w:szCs w:val="24"/>
              </w:rPr>
              <w:t>Tab 15</w:t>
            </w:r>
          </w:p>
        </w:tc>
        <w:tc>
          <w:tcPr>
            <w:tcW w:w="7195" w:type="dxa"/>
          </w:tcPr>
          <w:p w14:paraId="3AFADEB3" w14:textId="72E81B57" w:rsidR="00D31E31" w:rsidRPr="00383F30" w:rsidRDefault="00D31E31" w:rsidP="00C07163">
            <w:pPr>
              <w:pStyle w:val="NoSpacing"/>
              <w:rPr>
                <w:rFonts w:ascii="Arial" w:hAnsi="Arial" w:cs="Arial"/>
                <w:sz w:val="24"/>
                <w:szCs w:val="24"/>
              </w:rPr>
            </w:pPr>
            <w:r w:rsidRPr="00383F30">
              <w:rPr>
                <w:rFonts w:ascii="Arial" w:hAnsi="Arial" w:cs="Arial"/>
                <w:sz w:val="24"/>
                <w:szCs w:val="24"/>
              </w:rPr>
              <w:t>IOT Detailed Adjustments</w:t>
            </w:r>
            <w:r>
              <w:rPr>
                <w:rFonts w:ascii="Arial" w:hAnsi="Arial" w:cs="Arial"/>
                <w:sz w:val="24"/>
                <w:szCs w:val="24"/>
              </w:rPr>
              <w:t xml:space="preserve"> </w:t>
            </w:r>
          </w:p>
        </w:tc>
      </w:tr>
      <w:tr w:rsidR="00D31E31" w14:paraId="4B697C43" w14:textId="77777777" w:rsidTr="00D31E31">
        <w:tc>
          <w:tcPr>
            <w:tcW w:w="1327" w:type="dxa"/>
          </w:tcPr>
          <w:p w14:paraId="39388E8F" w14:textId="6E058898" w:rsidR="00D31E31" w:rsidRPr="00383F30" w:rsidRDefault="00D31E31" w:rsidP="00C07163">
            <w:pPr>
              <w:pStyle w:val="NoSpacing"/>
              <w:rPr>
                <w:rFonts w:ascii="Arial" w:hAnsi="Arial" w:cs="Arial"/>
                <w:sz w:val="24"/>
                <w:szCs w:val="24"/>
              </w:rPr>
            </w:pPr>
            <w:r>
              <w:rPr>
                <w:rFonts w:ascii="Arial" w:hAnsi="Arial" w:cs="Arial"/>
                <w:sz w:val="24"/>
                <w:szCs w:val="24"/>
              </w:rPr>
              <w:t>Tab 16</w:t>
            </w:r>
          </w:p>
        </w:tc>
        <w:tc>
          <w:tcPr>
            <w:tcW w:w="7195" w:type="dxa"/>
          </w:tcPr>
          <w:p w14:paraId="000142BA" w14:textId="07D60989" w:rsidR="00D31E31" w:rsidRPr="00383F30" w:rsidRDefault="00D31E31" w:rsidP="00C07163">
            <w:pPr>
              <w:pStyle w:val="NoSpacing"/>
              <w:rPr>
                <w:rFonts w:ascii="Arial" w:hAnsi="Arial" w:cs="Arial"/>
                <w:sz w:val="24"/>
                <w:szCs w:val="24"/>
              </w:rPr>
            </w:pPr>
            <w:r w:rsidRPr="00383F30">
              <w:rPr>
                <w:rFonts w:ascii="Arial" w:hAnsi="Arial" w:cs="Arial"/>
                <w:sz w:val="24"/>
                <w:szCs w:val="24"/>
              </w:rPr>
              <w:t>IOT Cost Allocation</w:t>
            </w:r>
          </w:p>
        </w:tc>
      </w:tr>
      <w:tr w:rsidR="00D31E31" w14:paraId="732D8DA5" w14:textId="77777777" w:rsidTr="00D31E31">
        <w:tc>
          <w:tcPr>
            <w:tcW w:w="1327" w:type="dxa"/>
          </w:tcPr>
          <w:p w14:paraId="2A69C275" w14:textId="1650E6D8" w:rsidR="00D31E31" w:rsidRPr="00383F30" w:rsidRDefault="00D31E31" w:rsidP="00C07163">
            <w:pPr>
              <w:pStyle w:val="NoSpacing"/>
              <w:rPr>
                <w:rFonts w:ascii="Arial" w:hAnsi="Arial" w:cs="Arial"/>
                <w:sz w:val="24"/>
                <w:szCs w:val="24"/>
              </w:rPr>
            </w:pPr>
            <w:r>
              <w:rPr>
                <w:rFonts w:ascii="Arial" w:hAnsi="Arial" w:cs="Arial"/>
                <w:sz w:val="24"/>
                <w:szCs w:val="24"/>
              </w:rPr>
              <w:t>Tab 17</w:t>
            </w:r>
          </w:p>
        </w:tc>
        <w:tc>
          <w:tcPr>
            <w:tcW w:w="7195" w:type="dxa"/>
          </w:tcPr>
          <w:p w14:paraId="28D0F401" w14:textId="49C1C9DB" w:rsidR="00D31E31" w:rsidRPr="00383F30" w:rsidRDefault="00D31E31" w:rsidP="00C07163">
            <w:pPr>
              <w:pStyle w:val="NoSpacing"/>
              <w:rPr>
                <w:rFonts w:ascii="Arial" w:hAnsi="Arial" w:cs="Arial"/>
                <w:sz w:val="24"/>
                <w:szCs w:val="24"/>
              </w:rPr>
            </w:pPr>
            <w:r w:rsidRPr="00383F30">
              <w:rPr>
                <w:rFonts w:ascii="Arial" w:hAnsi="Arial" w:cs="Arial"/>
                <w:sz w:val="24"/>
                <w:szCs w:val="24"/>
              </w:rPr>
              <w:t>IOT Reimbursed Units</w:t>
            </w:r>
          </w:p>
        </w:tc>
      </w:tr>
      <w:tr w:rsidR="00D31E31" w14:paraId="7D57E944" w14:textId="77777777" w:rsidTr="00D31E31">
        <w:tc>
          <w:tcPr>
            <w:tcW w:w="1327" w:type="dxa"/>
          </w:tcPr>
          <w:p w14:paraId="146F0A9D" w14:textId="1A2FEE64" w:rsidR="00D31E31" w:rsidRPr="00383F30" w:rsidRDefault="00D31E31" w:rsidP="00C07163">
            <w:pPr>
              <w:pStyle w:val="NoSpacing"/>
              <w:rPr>
                <w:rFonts w:ascii="Arial" w:hAnsi="Arial" w:cs="Arial"/>
                <w:sz w:val="24"/>
                <w:szCs w:val="24"/>
              </w:rPr>
            </w:pPr>
            <w:r>
              <w:rPr>
                <w:rFonts w:ascii="Arial" w:hAnsi="Arial" w:cs="Arial"/>
                <w:sz w:val="24"/>
                <w:szCs w:val="24"/>
              </w:rPr>
              <w:t>Tab 18</w:t>
            </w:r>
          </w:p>
        </w:tc>
        <w:tc>
          <w:tcPr>
            <w:tcW w:w="7195" w:type="dxa"/>
          </w:tcPr>
          <w:p w14:paraId="6C15046E" w14:textId="51EF2DF4" w:rsidR="00D31E31" w:rsidRPr="00383F30" w:rsidRDefault="00D31E31" w:rsidP="00C07163">
            <w:pPr>
              <w:pStyle w:val="NoSpacing"/>
              <w:rPr>
                <w:rFonts w:ascii="Arial" w:hAnsi="Arial" w:cs="Arial"/>
                <w:sz w:val="24"/>
                <w:szCs w:val="24"/>
              </w:rPr>
            </w:pPr>
            <w:r>
              <w:rPr>
                <w:rFonts w:ascii="Arial" w:hAnsi="Arial" w:cs="Arial"/>
                <w:sz w:val="24"/>
                <w:szCs w:val="24"/>
              </w:rPr>
              <w:t>IOT Comparison</w:t>
            </w:r>
          </w:p>
        </w:tc>
      </w:tr>
      <w:tr w:rsidR="00D31E31" w14:paraId="295178FA" w14:textId="77777777" w:rsidTr="00D31E31">
        <w:tc>
          <w:tcPr>
            <w:tcW w:w="1327" w:type="dxa"/>
          </w:tcPr>
          <w:p w14:paraId="53C11BE6" w14:textId="6B972650" w:rsidR="00D31E31" w:rsidRPr="00383F30" w:rsidRDefault="00D31E31" w:rsidP="00C07163">
            <w:pPr>
              <w:pStyle w:val="NoSpacing"/>
              <w:rPr>
                <w:rFonts w:ascii="Arial" w:hAnsi="Arial" w:cs="Arial"/>
                <w:sz w:val="24"/>
                <w:szCs w:val="24"/>
              </w:rPr>
            </w:pPr>
            <w:r>
              <w:rPr>
                <w:rFonts w:ascii="Arial" w:hAnsi="Arial" w:cs="Arial"/>
                <w:sz w:val="24"/>
                <w:szCs w:val="24"/>
              </w:rPr>
              <w:t>Tab 19</w:t>
            </w:r>
          </w:p>
        </w:tc>
        <w:tc>
          <w:tcPr>
            <w:tcW w:w="7195" w:type="dxa"/>
          </w:tcPr>
          <w:p w14:paraId="247EA375" w14:textId="02F6DE77" w:rsidR="00D31E31" w:rsidRPr="00383F30" w:rsidRDefault="00D31E31" w:rsidP="00C07163">
            <w:pPr>
              <w:pStyle w:val="NoSpacing"/>
              <w:rPr>
                <w:rFonts w:ascii="Arial" w:hAnsi="Arial" w:cs="Arial"/>
                <w:sz w:val="24"/>
                <w:szCs w:val="24"/>
              </w:rPr>
            </w:pPr>
            <w:r w:rsidRPr="00383F30">
              <w:rPr>
                <w:rFonts w:ascii="Arial" w:hAnsi="Arial" w:cs="Arial"/>
                <w:sz w:val="24"/>
                <w:szCs w:val="24"/>
              </w:rPr>
              <w:t xml:space="preserve">Residential </w:t>
            </w:r>
            <w:r>
              <w:rPr>
                <w:rFonts w:ascii="Arial" w:hAnsi="Arial" w:cs="Arial"/>
                <w:sz w:val="24"/>
                <w:szCs w:val="24"/>
              </w:rPr>
              <w:t xml:space="preserve">(RES) </w:t>
            </w:r>
            <w:r w:rsidRPr="00383F30">
              <w:rPr>
                <w:rFonts w:ascii="Arial" w:hAnsi="Arial" w:cs="Arial"/>
                <w:sz w:val="24"/>
                <w:szCs w:val="24"/>
              </w:rPr>
              <w:t>Detailed Costs</w:t>
            </w:r>
          </w:p>
        </w:tc>
      </w:tr>
      <w:tr w:rsidR="00D31E31" w14:paraId="0EF13A34" w14:textId="77777777" w:rsidTr="00D31E31">
        <w:tc>
          <w:tcPr>
            <w:tcW w:w="1327" w:type="dxa"/>
          </w:tcPr>
          <w:p w14:paraId="7AFF1E6E" w14:textId="17CD6D15" w:rsidR="00D31E31" w:rsidRPr="00383F30" w:rsidRDefault="00D31E31" w:rsidP="00C07163">
            <w:pPr>
              <w:pStyle w:val="NoSpacing"/>
              <w:rPr>
                <w:rFonts w:ascii="Arial" w:hAnsi="Arial" w:cs="Arial"/>
                <w:sz w:val="24"/>
                <w:szCs w:val="24"/>
              </w:rPr>
            </w:pPr>
            <w:r>
              <w:rPr>
                <w:rFonts w:ascii="Arial" w:hAnsi="Arial" w:cs="Arial"/>
                <w:sz w:val="24"/>
                <w:szCs w:val="24"/>
              </w:rPr>
              <w:t>Tab 20</w:t>
            </w:r>
          </w:p>
        </w:tc>
        <w:tc>
          <w:tcPr>
            <w:tcW w:w="7195" w:type="dxa"/>
          </w:tcPr>
          <w:p w14:paraId="359ACE83" w14:textId="325827E4" w:rsidR="00D31E31" w:rsidRPr="00383F30" w:rsidRDefault="00D31E31" w:rsidP="00C07163">
            <w:pPr>
              <w:pStyle w:val="NoSpacing"/>
              <w:rPr>
                <w:rFonts w:ascii="Arial" w:hAnsi="Arial" w:cs="Arial"/>
                <w:sz w:val="24"/>
                <w:szCs w:val="24"/>
              </w:rPr>
            </w:pPr>
            <w:r w:rsidRPr="00383F30">
              <w:rPr>
                <w:rFonts w:ascii="Arial" w:hAnsi="Arial" w:cs="Arial"/>
                <w:sz w:val="24"/>
                <w:szCs w:val="24"/>
              </w:rPr>
              <w:t>R</w:t>
            </w:r>
            <w:r>
              <w:rPr>
                <w:rFonts w:ascii="Arial" w:hAnsi="Arial" w:cs="Arial"/>
                <w:sz w:val="24"/>
                <w:szCs w:val="24"/>
              </w:rPr>
              <w:t>ES</w:t>
            </w:r>
            <w:r w:rsidRPr="00383F30">
              <w:rPr>
                <w:rFonts w:ascii="Arial" w:hAnsi="Arial" w:cs="Arial"/>
                <w:sz w:val="24"/>
                <w:szCs w:val="24"/>
              </w:rPr>
              <w:t xml:space="preserve"> Detailed Adjustments</w:t>
            </w:r>
            <w:r>
              <w:rPr>
                <w:rFonts w:ascii="Arial" w:hAnsi="Arial" w:cs="Arial"/>
                <w:sz w:val="24"/>
                <w:szCs w:val="24"/>
              </w:rPr>
              <w:t xml:space="preserve"> </w:t>
            </w:r>
          </w:p>
        </w:tc>
      </w:tr>
      <w:tr w:rsidR="00D31E31" w14:paraId="18397823" w14:textId="77777777" w:rsidTr="00D31E31">
        <w:tc>
          <w:tcPr>
            <w:tcW w:w="1327" w:type="dxa"/>
          </w:tcPr>
          <w:p w14:paraId="22B41649" w14:textId="73EF0708" w:rsidR="00D31E31" w:rsidRDefault="00D31E31" w:rsidP="00C07163">
            <w:pPr>
              <w:pStyle w:val="NoSpacing"/>
              <w:rPr>
                <w:rFonts w:ascii="Arial" w:hAnsi="Arial" w:cs="Arial"/>
                <w:sz w:val="24"/>
                <w:szCs w:val="24"/>
              </w:rPr>
            </w:pPr>
            <w:r>
              <w:rPr>
                <w:rFonts w:ascii="Arial" w:hAnsi="Arial" w:cs="Arial"/>
                <w:sz w:val="24"/>
                <w:szCs w:val="24"/>
              </w:rPr>
              <w:t>Tab 21</w:t>
            </w:r>
          </w:p>
        </w:tc>
        <w:tc>
          <w:tcPr>
            <w:tcW w:w="7195" w:type="dxa"/>
          </w:tcPr>
          <w:p w14:paraId="5752A2B9" w14:textId="283F628A" w:rsidR="00D31E31" w:rsidRPr="00383F30" w:rsidRDefault="00D31E31" w:rsidP="00C07163">
            <w:pPr>
              <w:pStyle w:val="NoSpacing"/>
              <w:rPr>
                <w:rFonts w:ascii="Arial" w:hAnsi="Arial" w:cs="Arial"/>
                <w:sz w:val="24"/>
                <w:szCs w:val="24"/>
              </w:rPr>
            </w:pPr>
            <w:r>
              <w:rPr>
                <w:rFonts w:ascii="Arial" w:hAnsi="Arial" w:cs="Arial"/>
                <w:sz w:val="24"/>
                <w:szCs w:val="24"/>
              </w:rPr>
              <w:t>RES</w:t>
            </w:r>
            <w:r w:rsidRPr="00383F30">
              <w:rPr>
                <w:rFonts w:ascii="Arial" w:hAnsi="Arial" w:cs="Arial"/>
                <w:sz w:val="24"/>
                <w:szCs w:val="24"/>
              </w:rPr>
              <w:t xml:space="preserve"> Cost Allocation</w:t>
            </w:r>
          </w:p>
        </w:tc>
      </w:tr>
      <w:tr w:rsidR="00D31E31" w14:paraId="19163F1E" w14:textId="77777777" w:rsidTr="00D31E31">
        <w:tc>
          <w:tcPr>
            <w:tcW w:w="1327" w:type="dxa"/>
          </w:tcPr>
          <w:p w14:paraId="15368770" w14:textId="1BABBB9C" w:rsidR="00D31E31" w:rsidRDefault="00D31E31" w:rsidP="00C07163">
            <w:pPr>
              <w:pStyle w:val="NoSpacing"/>
              <w:rPr>
                <w:rFonts w:ascii="Arial" w:hAnsi="Arial" w:cs="Arial"/>
                <w:sz w:val="24"/>
                <w:szCs w:val="24"/>
              </w:rPr>
            </w:pPr>
            <w:r>
              <w:rPr>
                <w:rFonts w:ascii="Arial" w:hAnsi="Arial" w:cs="Arial"/>
                <w:sz w:val="24"/>
                <w:szCs w:val="24"/>
              </w:rPr>
              <w:t>Tab 22</w:t>
            </w:r>
          </w:p>
        </w:tc>
        <w:tc>
          <w:tcPr>
            <w:tcW w:w="7195" w:type="dxa"/>
          </w:tcPr>
          <w:p w14:paraId="6FC2A3E3" w14:textId="71C7B34D" w:rsidR="00D31E31" w:rsidRPr="00383F30" w:rsidRDefault="00D31E31" w:rsidP="00C07163">
            <w:pPr>
              <w:pStyle w:val="NoSpacing"/>
              <w:rPr>
                <w:rFonts w:ascii="Arial" w:hAnsi="Arial" w:cs="Arial"/>
                <w:sz w:val="24"/>
                <w:szCs w:val="24"/>
              </w:rPr>
            </w:pPr>
            <w:r>
              <w:rPr>
                <w:rFonts w:ascii="Arial" w:hAnsi="Arial" w:cs="Arial"/>
                <w:sz w:val="24"/>
                <w:szCs w:val="24"/>
              </w:rPr>
              <w:t>RES</w:t>
            </w:r>
            <w:r w:rsidRPr="00383F30">
              <w:rPr>
                <w:rFonts w:ascii="Arial" w:hAnsi="Arial" w:cs="Arial"/>
                <w:sz w:val="24"/>
                <w:szCs w:val="24"/>
              </w:rPr>
              <w:t xml:space="preserve"> Reimbursed Units</w:t>
            </w:r>
          </w:p>
        </w:tc>
      </w:tr>
      <w:tr w:rsidR="00D31E31" w14:paraId="78F0CED3" w14:textId="77777777" w:rsidTr="00D31E31">
        <w:tc>
          <w:tcPr>
            <w:tcW w:w="1327" w:type="dxa"/>
          </w:tcPr>
          <w:p w14:paraId="78AEDC4A" w14:textId="552C16B9" w:rsidR="00D31E31" w:rsidRDefault="00D31E31" w:rsidP="00C07163">
            <w:pPr>
              <w:pStyle w:val="NoSpacing"/>
              <w:rPr>
                <w:rFonts w:ascii="Arial" w:hAnsi="Arial" w:cs="Arial"/>
                <w:sz w:val="24"/>
                <w:szCs w:val="24"/>
              </w:rPr>
            </w:pPr>
            <w:r>
              <w:rPr>
                <w:rFonts w:ascii="Arial" w:hAnsi="Arial" w:cs="Arial"/>
                <w:sz w:val="24"/>
                <w:szCs w:val="24"/>
              </w:rPr>
              <w:t>Tab 23</w:t>
            </w:r>
          </w:p>
        </w:tc>
        <w:tc>
          <w:tcPr>
            <w:tcW w:w="7195" w:type="dxa"/>
          </w:tcPr>
          <w:p w14:paraId="032D3903" w14:textId="22AD1D3A" w:rsidR="00D31E31" w:rsidRDefault="00D31E31" w:rsidP="00C07163">
            <w:pPr>
              <w:pStyle w:val="NoSpacing"/>
              <w:rPr>
                <w:rFonts w:ascii="Arial" w:hAnsi="Arial" w:cs="Arial"/>
                <w:sz w:val="24"/>
                <w:szCs w:val="24"/>
              </w:rPr>
            </w:pPr>
            <w:r>
              <w:rPr>
                <w:rFonts w:ascii="Arial" w:hAnsi="Arial" w:cs="Arial"/>
                <w:sz w:val="24"/>
                <w:szCs w:val="24"/>
              </w:rPr>
              <w:t>RES Comparison</w:t>
            </w:r>
          </w:p>
        </w:tc>
      </w:tr>
      <w:tr w:rsidR="00D31E31" w14:paraId="5C255E20" w14:textId="77777777" w:rsidTr="00D31E31">
        <w:tc>
          <w:tcPr>
            <w:tcW w:w="1327" w:type="dxa"/>
          </w:tcPr>
          <w:p w14:paraId="0008E1C0" w14:textId="26E7D5AF" w:rsidR="00D31E31" w:rsidRDefault="00D31E31" w:rsidP="00C07163">
            <w:pPr>
              <w:pStyle w:val="NoSpacing"/>
              <w:rPr>
                <w:rFonts w:ascii="Arial" w:hAnsi="Arial" w:cs="Arial"/>
                <w:sz w:val="24"/>
                <w:szCs w:val="24"/>
              </w:rPr>
            </w:pPr>
            <w:r>
              <w:rPr>
                <w:rFonts w:ascii="Arial" w:hAnsi="Arial" w:cs="Arial"/>
                <w:sz w:val="24"/>
                <w:szCs w:val="24"/>
              </w:rPr>
              <w:t>Tab 24</w:t>
            </w:r>
          </w:p>
        </w:tc>
        <w:tc>
          <w:tcPr>
            <w:tcW w:w="7195" w:type="dxa"/>
          </w:tcPr>
          <w:p w14:paraId="43BD9C63" w14:textId="6745E902" w:rsidR="00D31E31" w:rsidRDefault="00D31E31" w:rsidP="00C07163">
            <w:pPr>
              <w:pStyle w:val="NoSpacing"/>
              <w:rPr>
                <w:rFonts w:ascii="Arial" w:hAnsi="Arial" w:cs="Arial"/>
                <w:sz w:val="24"/>
                <w:szCs w:val="24"/>
              </w:rPr>
            </w:pPr>
            <w:r>
              <w:rPr>
                <w:rFonts w:ascii="Arial" w:hAnsi="Arial" w:cs="Arial"/>
                <w:sz w:val="24"/>
                <w:szCs w:val="24"/>
              </w:rPr>
              <w:t>NTP Detailed Costs</w:t>
            </w:r>
          </w:p>
        </w:tc>
      </w:tr>
      <w:tr w:rsidR="00D31E31" w14:paraId="6A9A94C9" w14:textId="77777777" w:rsidTr="00D31E31">
        <w:tc>
          <w:tcPr>
            <w:tcW w:w="1327" w:type="dxa"/>
          </w:tcPr>
          <w:p w14:paraId="129FDE5D" w14:textId="5FABDC06" w:rsidR="00D31E31" w:rsidRDefault="00D31E31" w:rsidP="00C07163">
            <w:pPr>
              <w:pStyle w:val="NoSpacing"/>
              <w:rPr>
                <w:rFonts w:ascii="Arial" w:hAnsi="Arial" w:cs="Arial"/>
                <w:sz w:val="24"/>
                <w:szCs w:val="24"/>
              </w:rPr>
            </w:pPr>
            <w:r>
              <w:rPr>
                <w:rFonts w:ascii="Arial" w:hAnsi="Arial" w:cs="Arial"/>
                <w:sz w:val="24"/>
                <w:szCs w:val="24"/>
              </w:rPr>
              <w:t>Tab 25</w:t>
            </w:r>
          </w:p>
        </w:tc>
        <w:tc>
          <w:tcPr>
            <w:tcW w:w="7195" w:type="dxa"/>
          </w:tcPr>
          <w:p w14:paraId="3214FF80" w14:textId="6FC92511" w:rsidR="00D31E31" w:rsidRDefault="00D31E31" w:rsidP="00C07163">
            <w:pPr>
              <w:pStyle w:val="NoSpacing"/>
              <w:rPr>
                <w:rFonts w:ascii="Arial" w:hAnsi="Arial" w:cs="Arial"/>
                <w:sz w:val="24"/>
                <w:szCs w:val="24"/>
              </w:rPr>
            </w:pPr>
            <w:r>
              <w:rPr>
                <w:rFonts w:ascii="Arial" w:hAnsi="Arial" w:cs="Arial"/>
                <w:sz w:val="24"/>
                <w:szCs w:val="24"/>
              </w:rPr>
              <w:t>NTP Detailed Adjustments</w:t>
            </w:r>
          </w:p>
        </w:tc>
      </w:tr>
      <w:tr w:rsidR="00D31E31" w14:paraId="620C84C2" w14:textId="77777777" w:rsidTr="00D31E31">
        <w:tc>
          <w:tcPr>
            <w:tcW w:w="1327" w:type="dxa"/>
          </w:tcPr>
          <w:p w14:paraId="3010E4A2" w14:textId="74B14349" w:rsidR="00D31E31" w:rsidRDefault="00D31E31" w:rsidP="00C07163">
            <w:pPr>
              <w:pStyle w:val="NoSpacing"/>
              <w:rPr>
                <w:rFonts w:ascii="Arial" w:hAnsi="Arial" w:cs="Arial"/>
                <w:sz w:val="24"/>
                <w:szCs w:val="24"/>
              </w:rPr>
            </w:pPr>
            <w:r>
              <w:rPr>
                <w:rFonts w:ascii="Arial" w:hAnsi="Arial" w:cs="Arial"/>
                <w:sz w:val="24"/>
                <w:szCs w:val="24"/>
              </w:rPr>
              <w:t>Tab 26</w:t>
            </w:r>
          </w:p>
        </w:tc>
        <w:tc>
          <w:tcPr>
            <w:tcW w:w="7195" w:type="dxa"/>
          </w:tcPr>
          <w:p w14:paraId="05EFF812" w14:textId="1A22472A" w:rsidR="00D31E31" w:rsidRDefault="00D31E31" w:rsidP="00C07163">
            <w:pPr>
              <w:pStyle w:val="NoSpacing"/>
              <w:rPr>
                <w:rFonts w:ascii="Arial" w:hAnsi="Arial" w:cs="Arial"/>
                <w:sz w:val="24"/>
                <w:szCs w:val="24"/>
              </w:rPr>
            </w:pPr>
            <w:r>
              <w:rPr>
                <w:rFonts w:ascii="Arial" w:hAnsi="Arial" w:cs="Arial"/>
                <w:sz w:val="24"/>
                <w:szCs w:val="24"/>
              </w:rPr>
              <w:t>NTP Cost Allocation</w:t>
            </w:r>
          </w:p>
        </w:tc>
      </w:tr>
      <w:tr w:rsidR="00D31E31" w14:paraId="6C4B5F35" w14:textId="77777777" w:rsidTr="00D31E31">
        <w:tc>
          <w:tcPr>
            <w:tcW w:w="1327" w:type="dxa"/>
          </w:tcPr>
          <w:p w14:paraId="4BF53C3B" w14:textId="641A21E3" w:rsidR="00D31E31" w:rsidRDefault="00D31E31" w:rsidP="00C07163">
            <w:pPr>
              <w:pStyle w:val="NoSpacing"/>
              <w:rPr>
                <w:rFonts w:ascii="Arial" w:hAnsi="Arial" w:cs="Arial"/>
                <w:sz w:val="24"/>
                <w:szCs w:val="24"/>
              </w:rPr>
            </w:pPr>
            <w:r>
              <w:rPr>
                <w:rFonts w:ascii="Arial" w:hAnsi="Arial" w:cs="Arial"/>
                <w:sz w:val="24"/>
                <w:szCs w:val="24"/>
              </w:rPr>
              <w:t>Tab 27</w:t>
            </w:r>
          </w:p>
        </w:tc>
        <w:tc>
          <w:tcPr>
            <w:tcW w:w="7195" w:type="dxa"/>
          </w:tcPr>
          <w:p w14:paraId="2BC2D3FD" w14:textId="131FF48B" w:rsidR="00D31E31" w:rsidRDefault="00D31E31" w:rsidP="00C07163">
            <w:pPr>
              <w:pStyle w:val="NoSpacing"/>
              <w:rPr>
                <w:rFonts w:ascii="Arial" w:hAnsi="Arial" w:cs="Arial"/>
                <w:sz w:val="24"/>
                <w:szCs w:val="24"/>
              </w:rPr>
            </w:pPr>
            <w:r>
              <w:rPr>
                <w:rFonts w:ascii="Arial" w:hAnsi="Arial" w:cs="Arial"/>
                <w:sz w:val="24"/>
                <w:szCs w:val="24"/>
              </w:rPr>
              <w:t>NTP Reimbursed Units</w:t>
            </w:r>
          </w:p>
        </w:tc>
      </w:tr>
      <w:tr w:rsidR="00D31E31" w14:paraId="31816DB2" w14:textId="77777777" w:rsidTr="00D31E31">
        <w:tc>
          <w:tcPr>
            <w:tcW w:w="1327" w:type="dxa"/>
          </w:tcPr>
          <w:p w14:paraId="2041AAA7" w14:textId="2307848A" w:rsidR="00D31E31" w:rsidRDefault="00D31E31" w:rsidP="00C07163">
            <w:pPr>
              <w:pStyle w:val="NoSpacing"/>
              <w:rPr>
                <w:rFonts w:ascii="Arial" w:hAnsi="Arial" w:cs="Arial"/>
                <w:sz w:val="24"/>
                <w:szCs w:val="24"/>
              </w:rPr>
            </w:pPr>
            <w:r>
              <w:rPr>
                <w:rFonts w:ascii="Arial" w:hAnsi="Arial" w:cs="Arial"/>
                <w:sz w:val="24"/>
                <w:szCs w:val="24"/>
              </w:rPr>
              <w:t>Tab 28</w:t>
            </w:r>
          </w:p>
        </w:tc>
        <w:tc>
          <w:tcPr>
            <w:tcW w:w="7195" w:type="dxa"/>
          </w:tcPr>
          <w:p w14:paraId="5DA58237" w14:textId="4AE0C05E" w:rsidR="00D31E31" w:rsidRDefault="00D31E31" w:rsidP="00C07163">
            <w:pPr>
              <w:pStyle w:val="NoSpacing"/>
              <w:rPr>
                <w:rFonts w:ascii="Arial" w:hAnsi="Arial" w:cs="Arial"/>
                <w:sz w:val="24"/>
                <w:szCs w:val="24"/>
              </w:rPr>
            </w:pPr>
            <w:r>
              <w:rPr>
                <w:rFonts w:ascii="Arial" w:hAnsi="Arial" w:cs="Arial"/>
                <w:sz w:val="24"/>
                <w:szCs w:val="24"/>
              </w:rPr>
              <w:t xml:space="preserve">NTP </w:t>
            </w:r>
            <w:r w:rsidR="007F18D8">
              <w:rPr>
                <w:rFonts w:ascii="Arial" w:hAnsi="Arial" w:cs="Arial"/>
                <w:sz w:val="24"/>
                <w:szCs w:val="24"/>
              </w:rPr>
              <w:t>Comparison</w:t>
            </w:r>
          </w:p>
        </w:tc>
      </w:tr>
    </w:tbl>
    <w:p w14:paraId="5F3320AC" w14:textId="1078AA17" w:rsidR="00AE41F0" w:rsidRDefault="00AE41F0" w:rsidP="0041412C">
      <w:pPr>
        <w:spacing w:after="0" w:line="240" w:lineRule="auto"/>
        <w:rPr>
          <w:rFonts w:ascii="Arial" w:hAnsi="Arial" w:cs="Arial"/>
          <w:b/>
          <w:sz w:val="24"/>
        </w:rPr>
      </w:pPr>
    </w:p>
    <w:p w14:paraId="47863628" w14:textId="77777777" w:rsidR="00606A16" w:rsidRDefault="00606A16">
      <w:pPr>
        <w:rPr>
          <w:rFonts w:ascii="Arial" w:hAnsi="Arial" w:cs="Arial"/>
          <w:b/>
          <w:sz w:val="24"/>
        </w:rPr>
      </w:pPr>
      <w:r>
        <w:rPr>
          <w:rFonts w:ascii="Arial" w:hAnsi="Arial" w:cs="Arial"/>
          <w:b/>
          <w:sz w:val="24"/>
        </w:rPr>
        <w:br w:type="page"/>
      </w:r>
    </w:p>
    <w:p w14:paraId="6F2DD494" w14:textId="5C3F44D4" w:rsidR="00C94B66" w:rsidRPr="00383F30" w:rsidRDefault="007D6ED9" w:rsidP="0041412C">
      <w:pPr>
        <w:spacing w:after="0" w:line="240" w:lineRule="auto"/>
        <w:rPr>
          <w:rFonts w:ascii="Arial" w:hAnsi="Arial" w:cs="Arial"/>
          <w:b/>
          <w:sz w:val="24"/>
        </w:rPr>
      </w:pPr>
      <w:r>
        <w:rPr>
          <w:rFonts w:ascii="Arial" w:hAnsi="Arial" w:cs="Arial"/>
          <w:b/>
          <w:sz w:val="24"/>
        </w:rPr>
        <w:lastRenderedPageBreak/>
        <w:t>E</w:t>
      </w:r>
      <w:r w:rsidR="00383F30" w:rsidRPr="00383F30">
        <w:rPr>
          <w:rFonts w:ascii="Arial" w:hAnsi="Arial" w:cs="Arial"/>
          <w:b/>
          <w:sz w:val="24"/>
        </w:rPr>
        <w:t>.</w:t>
      </w:r>
      <w:r w:rsidR="00383F30" w:rsidRPr="00383F30">
        <w:rPr>
          <w:rFonts w:ascii="Arial" w:hAnsi="Arial" w:cs="Arial"/>
          <w:b/>
          <w:sz w:val="24"/>
        </w:rPr>
        <w:tab/>
      </w:r>
      <w:r w:rsidR="006835ED">
        <w:rPr>
          <w:rFonts w:ascii="Arial" w:hAnsi="Arial" w:cs="Arial"/>
          <w:b/>
          <w:sz w:val="24"/>
        </w:rPr>
        <w:t xml:space="preserve">DETAILED INSTRUCTIONS FOR EACH WORKSHEET </w:t>
      </w:r>
    </w:p>
    <w:p w14:paraId="4C412E99" w14:textId="3E66CDC9" w:rsidR="00C94B66" w:rsidRDefault="00C94B66" w:rsidP="0091129E">
      <w:pPr>
        <w:spacing w:after="0" w:line="240" w:lineRule="auto"/>
        <w:rPr>
          <w:rFonts w:ascii="Arial" w:hAnsi="Arial" w:cs="Arial"/>
          <w:sz w:val="24"/>
          <w:szCs w:val="24"/>
        </w:rPr>
      </w:pPr>
      <w:r w:rsidRPr="006B24AD">
        <w:rPr>
          <w:rFonts w:ascii="Arial" w:hAnsi="Arial" w:cs="Arial"/>
          <w:sz w:val="24"/>
          <w:szCs w:val="24"/>
        </w:rPr>
        <w:t xml:space="preserve"> </w:t>
      </w:r>
    </w:p>
    <w:p w14:paraId="71D66E0A" w14:textId="4BDD53EF" w:rsidR="00092CC0" w:rsidRDefault="00092CC0" w:rsidP="00606A16">
      <w:pPr>
        <w:spacing w:after="0" w:line="240" w:lineRule="auto"/>
        <w:ind w:firstLine="720"/>
        <w:rPr>
          <w:rFonts w:ascii="Arial" w:hAnsi="Arial" w:cs="Arial"/>
          <w:sz w:val="24"/>
          <w:szCs w:val="24"/>
        </w:rPr>
      </w:pPr>
      <w:r w:rsidRPr="00092CC0">
        <w:rPr>
          <w:rFonts w:ascii="Arial" w:hAnsi="Arial" w:cs="Arial"/>
          <w:sz w:val="24"/>
          <w:szCs w:val="24"/>
        </w:rPr>
        <w:t>The sequence for completing the workbook is shown below:</w:t>
      </w:r>
    </w:p>
    <w:p w14:paraId="54EF51C1" w14:textId="4B9BF37C" w:rsidR="00092CC0" w:rsidRPr="00606A16" w:rsidRDefault="00092CC0" w:rsidP="00606A16">
      <w:pPr>
        <w:pStyle w:val="ListParagraph"/>
        <w:numPr>
          <w:ilvl w:val="0"/>
          <w:numId w:val="61"/>
        </w:numPr>
        <w:spacing w:after="0" w:line="240" w:lineRule="auto"/>
        <w:rPr>
          <w:rFonts w:ascii="Arial" w:hAnsi="Arial" w:cs="Arial"/>
          <w:sz w:val="24"/>
          <w:szCs w:val="24"/>
        </w:rPr>
      </w:pPr>
      <w:r w:rsidRPr="00606A16">
        <w:rPr>
          <w:rFonts w:ascii="Arial" w:hAnsi="Arial" w:cs="Arial"/>
          <w:sz w:val="24"/>
          <w:szCs w:val="24"/>
        </w:rPr>
        <w:t xml:space="preserve">Complete the Provider Information and Certification </w:t>
      </w:r>
      <w:r w:rsidR="00606A16">
        <w:rPr>
          <w:rFonts w:ascii="Arial" w:hAnsi="Arial" w:cs="Arial"/>
          <w:sz w:val="24"/>
          <w:szCs w:val="24"/>
        </w:rPr>
        <w:t>worksheet</w:t>
      </w:r>
    </w:p>
    <w:p w14:paraId="7C202A08" w14:textId="39904DE7" w:rsidR="00092CC0" w:rsidRPr="00606A16" w:rsidRDefault="00092CC0" w:rsidP="00606A16">
      <w:pPr>
        <w:pStyle w:val="ListParagraph"/>
        <w:numPr>
          <w:ilvl w:val="0"/>
          <w:numId w:val="61"/>
        </w:numPr>
        <w:spacing w:after="0" w:line="240" w:lineRule="auto"/>
        <w:rPr>
          <w:rFonts w:ascii="Arial" w:hAnsi="Arial" w:cs="Arial"/>
          <w:sz w:val="24"/>
          <w:szCs w:val="24"/>
        </w:rPr>
      </w:pPr>
      <w:r w:rsidRPr="00606A16">
        <w:rPr>
          <w:rFonts w:ascii="Arial" w:hAnsi="Arial" w:cs="Arial"/>
          <w:sz w:val="24"/>
          <w:szCs w:val="24"/>
        </w:rPr>
        <w:t>Compl</w:t>
      </w:r>
      <w:r w:rsidR="00606A16">
        <w:rPr>
          <w:rFonts w:ascii="Arial" w:hAnsi="Arial" w:cs="Arial"/>
          <w:sz w:val="24"/>
          <w:szCs w:val="24"/>
        </w:rPr>
        <w:t>ete the Overall Detail Costs worksheet</w:t>
      </w:r>
      <w:r w:rsidRPr="00606A16">
        <w:rPr>
          <w:rFonts w:ascii="Arial" w:hAnsi="Arial" w:cs="Arial"/>
          <w:sz w:val="24"/>
          <w:szCs w:val="24"/>
        </w:rPr>
        <w:t xml:space="preserve"> </w:t>
      </w:r>
    </w:p>
    <w:p w14:paraId="7D2340C0" w14:textId="062895D8" w:rsidR="00092CC0" w:rsidRDefault="00092CC0" w:rsidP="00606A16">
      <w:pPr>
        <w:pStyle w:val="ListParagraph"/>
        <w:numPr>
          <w:ilvl w:val="0"/>
          <w:numId w:val="61"/>
        </w:numPr>
        <w:spacing w:after="0" w:line="240" w:lineRule="auto"/>
        <w:rPr>
          <w:rFonts w:ascii="Arial" w:hAnsi="Arial" w:cs="Arial"/>
          <w:sz w:val="24"/>
          <w:szCs w:val="24"/>
        </w:rPr>
      </w:pPr>
      <w:r w:rsidRPr="00606A16">
        <w:rPr>
          <w:rFonts w:ascii="Arial" w:hAnsi="Arial" w:cs="Arial"/>
          <w:sz w:val="24"/>
          <w:szCs w:val="24"/>
        </w:rPr>
        <w:t xml:space="preserve">For each modality/level of service provided, complete the </w:t>
      </w:r>
      <w:r w:rsidR="00606A16">
        <w:rPr>
          <w:rFonts w:ascii="Arial" w:hAnsi="Arial" w:cs="Arial"/>
          <w:sz w:val="24"/>
          <w:szCs w:val="24"/>
        </w:rPr>
        <w:t>worksheets</w:t>
      </w:r>
      <w:r w:rsidRPr="00606A16">
        <w:rPr>
          <w:rFonts w:ascii="Arial" w:hAnsi="Arial" w:cs="Arial"/>
          <w:sz w:val="24"/>
          <w:szCs w:val="24"/>
        </w:rPr>
        <w:t xml:space="preserve"> in the following order: </w:t>
      </w:r>
    </w:p>
    <w:p w14:paraId="1E21ED4C" w14:textId="594891E4" w:rsidR="00092CC0" w:rsidRDefault="00092CC0" w:rsidP="00606A16">
      <w:pPr>
        <w:pStyle w:val="ListParagraph"/>
        <w:numPr>
          <w:ilvl w:val="0"/>
          <w:numId w:val="62"/>
        </w:numPr>
        <w:spacing w:after="0" w:line="240" w:lineRule="auto"/>
        <w:rPr>
          <w:rFonts w:ascii="Arial" w:hAnsi="Arial" w:cs="Arial"/>
          <w:sz w:val="24"/>
          <w:szCs w:val="24"/>
        </w:rPr>
      </w:pPr>
      <w:r>
        <w:rPr>
          <w:rFonts w:ascii="Arial" w:hAnsi="Arial" w:cs="Arial"/>
          <w:sz w:val="24"/>
          <w:szCs w:val="24"/>
        </w:rPr>
        <w:t>Detailed Adjustments</w:t>
      </w:r>
    </w:p>
    <w:p w14:paraId="5011CF57" w14:textId="0E3511ED" w:rsidR="00092CC0" w:rsidRDefault="00092CC0" w:rsidP="00606A16">
      <w:pPr>
        <w:pStyle w:val="ListParagraph"/>
        <w:numPr>
          <w:ilvl w:val="0"/>
          <w:numId w:val="62"/>
        </w:numPr>
        <w:spacing w:after="0" w:line="240" w:lineRule="auto"/>
        <w:rPr>
          <w:rFonts w:ascii="Arial" w:hAnsi="Arial" w:cs="Arial"/>
          <w:sz w:val="24"/>
          <w:szCs w:val="24"/>
        </w:rPr>
      </w:pPr>
      <w:r>
        <w:rPr>
          <w:rFonts w:ascii="Arial" w:hAnsi="Arial" w:cs="Arial"/>
          <w:sz w:val="24"/>
          <w:szCs w:val="24"/>
        </w:rPr>
        <w:t>Cost Allocation</w:t>
      </w:r>
    </w:p>
    <w:p w14:paraId="24FD68C5" w14:textId="4CCD9016" w:rsidR="00092CC0" w:rsidRPr="00606A16" w:rsidRDefault="00092CC0" w:rsidP="00606A16">
      <w:pPr>
        <w:pStyle w:val="ListParagraph"/>
        <w:numPr>
          <w:ilvl w:val="0"/>
          <w:numId w:val="62"/>
        </w:numPr>
        <w:spacing w:after="0" w:line="240" w:lineRule="auto"/>
        <w:rPr>
          <w:rFonts w:ascii="Arial" w:hAnsi="Arial" w:cs="Arial"/>
          <w:sz w:val="24"/>
          <w:szCs w:val="24"/>
        </w:rPr>
      </w:pPr>
      <w:r>
        <w:rPr>
          <w:rFonts w:ascii="Arial" w:hAnsi="Arial" w:cs="Arial"/>
          <w:sz w:val="24"/>
          <w:szCs w:val="24"/>
        </w:rPr>
        <w:t>Reimbursed Units</w:t>
      </w:r>
    </w:p>
    <w:p w14:paraId="08F17AC7" w14:textId="001B7992" w:rsidR="00092CC0" w:rsidRPr="00606A16" w:rsidRDefault="00092CC0" w:rsidP="00606A16">
      <w:pPr>
        <w:pStyle w:val="ListParagraph"/>
        <w:numPr>
          <w:ilvl w:val="0"/>
          <w:numId w:val="61"/>
        </w:numPr>
        <w:spacing w:after="0" w:line="240" w:lineRule="auto"/>
        <w:rPr>
          <w:rFonts w:ascii="Arial" w:hAnsi="Arial" w:cs="Arial"/>
          <w:sz w:val="24"/>
          <w:szCs w:val="24"/>
        </w:rPr>
      </w:pPr>
      <w:r w:rsidRPr="00606A16">
        <w:rPr>
          <w:rFonts w:ascii="Arial" w:hAnsi="Arial" w:cs="Arial"/>
          <w:sz w:val="24"/>
          <w:szCs w:val="24"/>
        </w:rPr>
        <w:t>Review data, print, and sign the Provider Information and Certification attesting that the costs included are public expenditures eligible for FFP pursuant to 42 CFR 433.51.</w:t>
      </w:r>
    </w:p>
    <w:p w14:paraId="7A0F2AF1" w14:textId="28D7B896" w:rsidR="00092CC0" w:rsidRDefault="00092CC0" w:rsidP="0091129E">
      <w:pPr>
        <w:spacing w:after="0" w:line="240" w:lineRule="auto"/>
        <w:rPr>
          <w:rFonts w:ascii="Arial" w:hAnsi="Arial" w:cs="Arial"/>
          <w:sz w:val="24"/>
          <w:szCs w:val="24"/>
        </w:rPr>
      </w:pPr>
    </w:p>
    <w:p w14:paraId="7BA56EBB" w14:textId="7DAE6312" w:rsidR="00C94B66" w:rsidRDefault="00C94B66" w:rsidP="0091129E">
      <w:pPr>
        <w:spacing w:after="0" w:line="240" w:lineRule="auto"/>
        <w:ind w:firstLine="720"/>
        <w:rPr>
          <w:rFonts w:ascii="Arial" w:hAnsi="Arial" w:cs="Arial"/>
          <w:b/>
          <w:sz w:val="24"/>
          <w:szCs w:val="24"/>
          <w:u w:val="single"/>
        </w:rPr>
      </w:pPr>
      <w:r w:rsidRPr="006B24AD">
        <w:rPr>
          <w:rFonts w:ascii="Arial" w:hAnsi="Arial" w:cs="Arial"/>
          <w:b/>
          <w:sz w:val="24"/>
          <w:szCs w:val="24"/>
          <w:u w:val="single"/>
        </w:rPr>
        <w:t xml:space="preserve">Provider Information </w:t>
      </w:r>
      <w:r w:rsidR="0002508D" w:rsidRPr="006B24AD">
        <w:rPr>
          <w:rFonts w:ascii="Arial" w:hAnsi="Arial" w:cs="Arial"/>
          <w:b/>
          <w:sz w:val="24"/>
          <w:szCs w:val="24"/>
          <w:u w:val="single"/>
        </w:rPr>
        <w:t>and Certification</w:t>
      </w:r>
      <w:r w:rsidR="00864D25">
        <w:rPr>
          <w:rFonts w:ascii="Arial" w:hAnsi="Arial" w:cs="Arial"/>
          <w:b/>
          <w:sz w:val="24"/>
          <w:szCs w:val="24"/>
          <w:u w:val="single"/>
        </w:rPr>
        <w:t xml:space="preserve"> Worksheet</w:t>
      </w:r>
    </w:p>
    <w:p w14:paraId="52B42EA5" w14:textId="77777777" w:rsidR="00206718" w:rsidRDefault="00206718" w:rsidP="0041412C">
      <w:pPr>
        <w:spacing w:after="0" w:line="240" w:lineRule="auto"/>
        <w:ind w:left="720"/>
        <w:rPr>
          <w:rFonts w:ascii="Arial" w:hAnsi="Arial" w:cs="Arial"/>
          <w:sz w:val="24"/>
          <w:szCs w:val="24"/>
        </w:rPr>
      </w:pPr>
    </w:p>
    <w:p w14:paraId="3F617834" w14:textId="0033B66B" w:rsidR="009F7DF4" w:rsidRDefault="007E5595" w:rsidP="0041412C">
      <w:pPr>
        <w:spacing w:after="0" w:line="240" w:lineRule="auto"/>
        <w:ind w:left="720"/>
        <w:rPr>
          <w:rFonts w:ascii="Arial" w:hAnsi="Arial" w:cs="Arial"/>
          <w:sz w:val="24"/>
          <w:szCs w:val="24"/>
        </w:rPr>
      </w:pPr>
      <w:r w:rsidRPr="007E5595">
        <w:rPr>
          <w:rFonts w:ascii="Arial" w:hAnsi="Arial" w:cs="Arial"/>
          <w:sz w:val="24"/>
          <w:szCs w:val="24"/>
        </w:rPr>
        <w:t>This worksheet collect</w:t>
      </w:r>
      <w:r w:rsidR="00206718">
        <w:rPr>
          <w:rFonts w:ascii="Arial" w:hAnsi="Arial" w:cs="Arial"/>
          <w:sz w:val="24"/>
          <w:szCs w:val="24"/>
        </w:rPr>
        <w:t>s</w:t>
      </w:r>
      <w:r w:rsidRPr="007E5595">
        <w:rPr>
          <w:rFonts w:ascii="Arial" w:hAnsi="Arial" w:cs="Arial"/>
          <w:sz w:val="24"/>
          <w:szCs w:val="24"/>
        </w:rPr>
        <w:t xml:space="preserve"> </w:t>
      </w:r>
      <w:r w:rsidR="002A32C4">
        <w:rPr>
          <w:rFonts w:ascii="Arial" w:hAnsi="Arial" w:cs="Arial"/>
          <w:sz w:val="24"/>
          <w:szCs w:val="24"/>
        </w:rPr>
        <w:t xml:space="preserve">provider </w:t>
      </w:r>
      <w:r w:rsidRPr="007E5595">
        <w:rPr>
          <w:rFonts w:ascii="Arial" w:hAnsi="Arial" w:cs="Arial"/>
          <w:sz w:val="24"/>
          <w:szCs w:val="24"/>
        </w:rPr>
        <w:t xml:space="preserve">details, </w:t>
      </w:r>
      <w:r>
        <w:rPr>
          <w:rFonts w:ascii="Arial" w:hAnsi="Arial" w:cs="Arial"/>
          <w:sz w:val="24"/>
          <w:szCs w:val="24"/>
        </w:rPr>
        <w:t>i</w:t>
      </w:r>
      <w:r w:rsidRPr="007E5595">
        <w:rPr>
          <w:rFonts w:ascii="Arial" w:hAnsi="Arial" w:cs="Arial"/>
          <w:sz w:val="24"/>
          <w:szCs w:val="24"/>
        </w:rPr>
        <w:t xml:space="preserve">ncluding entity name, address, National Provider Identifier (NPI), and contact information. </w:t>
      </w:r>
      <w:r w:rsidR="00410B6F">
        <w:rPr>
          <w:rFonts w:ascii="Arial" w:hAnsi="Arial" w:cs="Arial"/>
          <w:sz w:val="24"/>
          <w:szCs w:val="24"/>
        </w:rPr>
        <w:t xml:space="preserve"> </w:t>
      </w:r>
      <w:r w:rsidRPr="007E5595">
        <w:rPr>
          <w:rFonts w:ascii="Arial" w:hAnsi="Arial" w:cs="Arial"/>
          <w:sz w:val="24"/>
          <w:szCs w:val="24"/>
        </w:rPr>
        <w:t>Th</w:t>
      </w:r>
      <w:r w:rsidR="00206718">
        <w:rPr>
          <w:rFonts w:ascii="Arial" w:hAnsi="Arial" w:cs="Arial"/>
          <w:sz w:val="24"/>
          <w:szCs w:val="24"/>
        </w:rPr>
        <w:t xml:space="preserve">e </w:t>
      </w:r>
      <w:r w:rsidRPr="007E5595">
        <w:rPr>
          <w:rFonts w:ascii="Arial" w:hAnsi="Arial" w:cs="Arial"/>
          <w:sz w:val="24"/>
          <w:szCs w:val="24"/>
        </w:rPr>
        <w:t xml:space="preserve">provider </w:t>
      </w:r>
      <w:r w:rsidR="00206718">
        <w:rPr>
          <w:rFonts w:ascii="Arial" w:hAnsi="Arial" w:cs="Arial"/>
          <w:sz w:val="24"/>
          <w:szCs w:val="24"/>
        </w:rPr>
        <w:t xml:space="preserve">officer or administrator must </w:t>
      </w:r>
      <w:r w:rsidRPr="007E5595">
        <w:rPr>
          <w:rFonts w:ascii="Arial" w:hAnsi="Arial" w:cs="Arial"/>
          <w:sz w:val="24"/>
          <w:szCs w:val="24"/>
        </w:rPr>
        <w:t>sign and certif</w:t>
      </w:r>
      <w:r w:rsidR="00206718">
        <w:rPr>
          <w:rFonts w:ascii="Arial" w:hAnsi="Arial" w:cs="Arial"/>
          <w:sz w:val="24"/>
          <w:szCs w:val="24"/>
        </w:rPr>
        <w:t>y</w:t>
      </w:r>
      <w:r w:rsidRPr="007E5595">
        <w:rPr>
          <w:rFonts w:ascii="Arial" w:hAnsi="Arial" w:cs="Arial"/>
          <w:sz w:val="24"/>
          <w:szCs w:val="24"/>
        </w:rPr>
        <w:t xml:space="preserve"> that the cost report is accurate and complies with all</w:t>
      </w:r>
      <w:r w:rsidR="00C40470">
        <w:rPr>
          <w:rFonts w:ascii="Arial" w:hAnsi="Arial" w:cs="Arial"/>
          <w:sz w:val="24"/>
          <w:szCs w:val="24"/>
        </w:rPr>
        <w:t xml:space="preserve"> </w:t>
      </w:r>
      <w:r w:rsidR="008A0411">
        <w:rPr>
          <w:rFonts w:ascii="Arial" w:hAnsi="Arial" w:cs="Arial"/>
          <w:sz w:val="24"/>
          <w:szCs w:val="24"/>
        </w:rPr>
        <w:t>f</w:t>
      </w:r>
      <w:r w:rsidR="00C40470">
        <w:rPr>
          <w:rFonts w:ascii="Arial" w:hAnsi="Arial" w:cs="Arial"/>
          <w:sz w:val="24"/>
          <w:szCs w:val="24"/>
        </w:rPr>
        <w:t xml:space="preserve">ederal and </w:t>
      </w:r>
      <w:r w:rsidR="008A0411">
        <w:rPr>
          <w:rFonts w:ascii="Arial" w:hAnsi="Arial" w:cs="Arial"/>
          <w:sz w:val="24"/>
          <w:szCs w:val="24"/>
        </w:rPr>
        <w:t>s</w:t>
      </w:r>
      <w:r w:rsidR="00C40470">
        <w:rPr>
          <w:rFonts w:ascii="Arial" w:hAnsi="Arial" w:cs="Arial"/>
          <w:sz w:val="24"/>
          <w:szCs w:val="24"/>
        </w:rPr>
        <w:t>tate requirements.</w:t>
      </w:r>
      <w:r w:rsidR="00206718">
        <w:rPr>
          <w:rFonts w:ascii="Arial" w:hAnsi="Arial" w:cs="Arial"/>
          <w:sz w:val="24"/>
          <w:szCs w:val="24"/>
        </w:rPr>
        <w:t xml:space="preserve"> </w:t>
      </w:r>
      <w:r w:rsidR="00410B6F">
        <w:rPr>
          <w:rFonts w:ascii="Arial" w:hAnsi="Arial" w:cs="Arial"/>
          <w:sz w:val="24"/>
          <w:szCs w:val="24"/>
        </w:rPr>
        <w:t xml:space="preserve"> </w:t>
      </w:r>
      <w:r w:rsidR="00206718">
        <w:rPr>
          <w:rFonts w:ascii="Arial" w:hAnsi="Arial" w:cs="Arial"/>
          <w:sz w:val="24"/>
          <w:szCs w:val="24"/>
        </w:rPr>
        <w:t xml:space="preserve">The certification must be submitted to DHCS with an original signature. </w:t>
      </w:r>
    </w:p>
    <w:p w14:paraId="1C78FD45" w14:textId="77777777" w:rsidR="00206718" w:rsidRPr="009F7DF4" w:rsidRDefault="00206718" w:rsidP="009F7DF4">
      <w:pPr>
        <w:spacing w:after="0" w:line="240" w:lineRule="auto"/>
        <w:rPr>
          <w:rFonts w:ascii="Arial" w:hAnsi="Arial" w:cs="Arial"/>
          <w:sz w:val="24"/>
          <w:szCs w:val="24"/>
        </w:rPr>
      </w:pPr>
    </w:p>
    <w:p w14:paraId="421A0F60" w14:textId="3321F250" w:rsidR="006835ED" w:rsidRDefault="006835ED" w:rsidP="009218A8">
      <w:pPr>
        <w:spacing w:after="0" w:line="240" w:lineRule="auto"/>
        <w:ind w:firstLine="720"/>
        <w:rPr>
          <w:rFonts w:ascii="Arial" w:hAnsi="Arial" w:cs="Arial"/>
          <w:b/>
          <w:sz w:val="24"/>
          <w:szCs w:val="24"/>
          <w:u w:val="single"/>
        </w:rPr>
      </w:pPr>
      <w:r>
        <w:rPr>
          <w:rFonts w:ascii="Arial" w:hAnsi="Arial" w:cs="Arial"/>
          <w:b/>
          <w:sz w:val="24"/>
          <w:szCs w:val="24"/>
          <w:u w:val="single"/>
        </w:rPr>
        <w:t xml:space="preserve">Overall </w:t>
      </w:r>
      <w:r w:rsidR="001136BB">
        <w:rPr>
          <w:rFonts w:ascii="Arial" w:hAnsi="Arial" w:cs="Arial"/>
          <w:b/>
          <w:sz w:val="24"/>
          <w:szCs w:val="24"/>
          <w:u w:val="single"/>
        </w:rPr>
        <w:t xml:space="preserve">Cost Summary </w:t>
      </w:r>
      <w:r w:rsidR="00864D25">
        <w:rPr>
          <w:rFonts w:ascii="Arial" w:hAnsi="Arial" w:cs="Arial"/>
          <w:b/>
          <w:sz w:val="24"/>
          <w:szCs w:val="24"/>
          <w:u w:val="single"/>
        </w:rPr>
        <w:t>Worksheet</w:t>
      </w:r>
    </w:p>
    <w:p w14:paraId="7CCCA6A5" w14:textId="77777777" w:rsidR="006835ED" w:rsidRDefault="006835ED" w:rsidP="009218A8">
      <w:pPr>
        <w:spacing w:after="0" w:line="240" w:lineRule="auto"/>
        <w:ind w:firstLine="720"/>
        <w:rPr>
          <w:rFonts w:ascii="Arial" w:hAnsi="Arial" w:cs="Arial"/>
          <w:b/>
          <w:sz w:val="24"/>
          <w:szCs w:val="24"/>
          <w:u w:val="single"/>
        </w:rPr>
      </w:pPr>
    </w:p>
    <w:p w14:paraId="522200CD" w14:textId="5DBF1FF6" w:rsidR="001136BB" w:rsidRDefault="007E5595" w:rsidP="001136BB">
      <w:pPr>
        <w:spacing w:after="0" w:line="240" w:lineRule="auto"/>
        <w:ind w:left="720"/>
        <w:rPr>
          <w:rFonts w:ascii="Arial" w:hAnsi="Arial" w:cs="Arial"/>
          <w:sz w:val="24"/>
          <w:szCs w:val="24"/>
        </w:rPr>
      </w:pPr>
      <w:r w:rsidRPr="007E5595">
        <w:rPr>
          <w:rFonts w:ascii="Arial" w:hAnsi="Arial" w:cs="Arial"/>
          <w:sz w:val="24"/>
          <w:szCs w:val="24"/>
        </w:rPr>
        <w:t>Th</w:t>
      </w:r>
      <w:r w:rsidR="00206718">
        <w:rPr>
          <w:rFonts w:ascii="Arial" w:hAnsi="Arial" w:cs="Arial"/>
          <w:sz w:val="24"/>
          <w:szCs w:val="24"/>
        </w:rPr>
        <w:t xml:space="preserve">is </w:t>
      </w:r>
      <w:r w:rsidRPr="007E5595">
        <w:rPr>
          <w:rFonts w:ascii="Arial" w:hAnsi="Arial" w:cs="Arial"/>
          <w:sz w:val="24"/>
          <w:szCs w:val="24"/>
        </w:rPr>
        <w:t xml:space="preserve">worksheet </w:t>
      </w:r>
      <w:r w:rsidR="00206718">
        <w:rPr>
          <w:rFonts w:ascii="Arial" w:hAnsi="Arial" w:cs="Arial"/>
          <w:sz w:val="24"/>
          <w:szCs w:val="24"/>
        </w:rPr>
        <w:t>d</w:t>
      </w:r>
      <w:r w:rsidRPr="007E5595">
        <w:rPr>
          <w:rFonts w:ascii="Arial" w:hAnsi="Arial" w:cs="Arial"/>
          <w:sz w:val="24"/>
          <w:szCs w:val="24"/>
        </w:rPr>
        <w:t>isplay</w:t>
      </w:r>
      <w:r w:rsidR="00206718">
        <w:rPr>
          <w:rFonts w:ascii="Arial" w:hAnsi="Arial" w:cs="Arial"/>
          <w:sz w:val="24"/>
          <w:szCs w:val="24"/>
        </w:rPr>
        <w:t>s</w:t>
      </w:r>
      <w:r w:rsidRPr="007E5595">
        <w:rPr>
          <w:rFonts w:ascii="Arial" w:hAnsi="Arial" w:cs="Arial"/>
          <w:sz w:val="24"/>
          <w:szCs w:val="24"/>
        </w:rPr>
        <w:t xml:space="preserve"> a summary of the totals for all the cost centers reported.</w:t>
      </w:r>
      <w:r w:rsidRPr="001A30BB">
        <w:rPr>
          <w:rFonts w:ascii="Arial" w:hAnsi="Arial" w:cs="Arial"/>
          <w:sz w:val="20"/>
          <w:szCs w:val="20"/>
        </w:rPr>
        <w:t xml:space="preserve"> </w:t>
      </w:r>
      <w:r w:rsidR="001136BB">
        <w:rPr>
          <w:rFonts w:ascii="Arial" w:hAnsi="Arial" w:cs="Arial"/>
          <w:sz w:val="24"/>
          <w:szCs w:val="24"/>
        </w:rPr>
        <w:t>No data entry is necessary in this worksheet; information automatically populate</w:t>
      </w:r>
      <w:r w:rsidR="00206718">
        <w:rPr>
          <w:rFonts w:ascii="Arial" w:hAnsi="Arial" w:cs="Arial"/>
          <w:sz w:val="24"/>
          <w:szCs w:val="24"/>
        </w:rPr>
        <w:t>s</w:t>
      </w:r>
      <w:r w:rsidR="001136BB">
        <w:rPr>
          <w:rFonts w:ascii="Arial" w:hAnsi="Arial" w:cs="Arial"/>
          <w:sz w:val="24"/>
          <w:szCs w:val="24"/>
        </w:rPr>
        <w:t xml:space="preserve"> from the Overall Detailed Costs worksheet. </w:t>
      </w:r>
      <w:r w:rsidR="001136BB" w:rsidRPr="006B24AD">
        <w:rPr>
          <w:rFonts w:ascii="Arial" w:hAnsi="Arial" w:cs="Arial"/>
          <w:sz w:val="24"/>
          <w:szCs w:val="24"/>
        </w:rPr>
        <w:t xml:space="preserve">  </w:t>
      </w:r>
    </w:p>
    <w:p w14:paraId="7D8591DC" w14:textId="77777777" w:rsidR="001136BB" w:rsidRDefault="001136BB" w:rsidP="009218A8">
      <w:pPr>
        <w:spacing w:after="0" w:line="240" w:lineRule="auto"/>
        <w:ind w:firstLine="720"/>
        <w:rPr>
          <w:rFonts w:ascii="Arial" w:hAnsi="Arial" w:cs="Arial"/>
          <w:b/>
          <w:sz w:val="24"/>
          <w:szCs w:val="24"/>
          <w:u w:val="single"/>
        </w:rPr>
      </w:pPr>
    </w:p>
    <w:p w14:paraId="08399984" w14:textId="5A44DFCF" w:rsidR="0002508D" w:rsidRPr="006B24AD" w:rsidRDefault="0002508D" w:rsidP="0012369D">
      <w:pPr>
        <w:ind w:firstLine="720"/>
        <w:rPr>
          <w:rFonts w:ascii="Arial" w:hAnsi="Arial" w:cs="Arial"/>
          <w:b/>
          <w:sz w:val="24"/>
          <w:szCs w:val="24"/>
          <w:u w:val="single"/>
        </w:rPr>
      </w:pPr>
      <w:r w:rsidRPr="006B24AD">
        <w:rPr>
          <w:rFonts w:ascii="Arial" w:hAnsi="Arial" w:cs="Arial"/>
          <w:b/>
          <w:sz w:val="24"/>
          <w:szCs w:val="24"/>
          <w:u w:val="single"/>
        </w:rPr>
        <w:t xml:space="preserve">Overall </w:t>
      </w:r>
      <w:r w:rsidR="001136BB">
        <w:rPr>
          <w:rFonts w:ascii="Arial" w:hAnsi="Arial" w:cs="Arial"/>
          <w:b/>
          <w:sz w:val="24"/>
          <w:szCs w:val="24"/>
          <w:u w:val="single"/>
        </w:rPr>
        <w:t xml:space="preserve">Detailed Costs </w:t>
      </w:r>
      <w:r w:rsidR="00864D25">
        <w:rPr>
          <w:rFonts w:ascii="Arial" w:hAnsi="Arial" w:cs="Arial"/>
          <w:b/>
          <w:sz w:val="24"/>
          <w:szCs w:val="24"/>
          <w:u w:val="single"/>
        </w:rPr>
        <w:t>Worksheet</w:t>
      </w:r>
    </w:p>
    <w:p w14:paraId="1E664975" w14:textId="77777777" w:rsidR="00AE41F0" w:rsidRDefault="00AE41F0" w:rsidP="00606A16">
      <w:pPr>
        <w:spacing w:line="240" w:lineRule="auto"/>
        <w:ind w:left="720"/>
        <w:rPr>
          <w:rFonts w:ascii="Arial" w:hAnsi="Arial" w:cs="Arial"/>
          <w:sz w:val="24"/>
          <w:szCs w:val="24"/>
        </w:rPr>
      </w:pPr>
      <w:r w:rsidRPr="00073FFA">
        <w:rPr>
          <w:rFonts w:ascii="Arial" w:hAnsi="Arial" w:cs="Arial"/>
          <w:sz w:val="24"/>
          <w:szCs w:val="24"/>
        </w:rPr>
        <w:t>The</w:t>
      </w:r>
      <w:r>
        <w:rPr>
          <w:rFonts w:ascii="Arial" w:hAnsi="Arial" w:cs="Arial"/>
          <w:sz w:val="24"/>
          <w:szCs w:val="24"/>
        </w:rPr>
        <w:t xml:space="preserve"> Overall Detailed Costs worksheet (Tab 3) </w:t>
      </w:r>
      <w:r w:rsidRPr="00073FFA">
        <w:rPr>
          <w:rFonts w:ascii="Arial" w:hAnsi="Arial" w:cs="Arial"/>
          <w:sz w:val="24"/>
          <w:szCs w:val="24"/>
        </w:rPr>
        <w:t xml:space="preserve">is the starting point for </w:t>
      </w:r>
      <w:r>
        <w:rPr>
          <w:rFonts w:ascii="Arial" w:hAnsi="Arial" w:cs="Arial"/>
          <w:sz w:val="24"/>
          <w:szCs w:val="24"/>
        </w:rPr>
        <w:t xml:space="preserve">all providers </w:t>
      </w:r>
      <w:r w:rsidRPr="00073FFA">
        <w:rPr>
          <w:rFonts w:ascii="Arial" w:hAnsi="Arial" w:cs="Arial"/>
          <w:sz w:val="24"/>
          <w:szCs w:val="24"/>
        </w:rPr>
        <w:t xml:space="preserve">completing the </w:t>
      </w:r>
      <w:r>
        <w:rPr>
          <w:rFonts w:ascii="Arial" w:hAnsi="Arial" w:cs="Arial"/>
          <w:sz w:val="24"/>
          <w:szCs w:val="24"/>
        </w:rPr>
        <w:t>DMC Cost Report Workbook.  The provider must enter all direct and indirect costs incurred related to SUD services.  The provider must specify the allocation methodologies used to distribute costs across various cost centers.</w:t>
      </w:r>
      <w:r w:rsidRPr="001C3F02">
        <w:rPr>
          <w:rFonts w:ascii="Arial" w:hAnsi="Arial" w:cs="Arial"/>
          <w:sz w:val="24"/>
          <w:szCs w:val="24"/>
        </w:rPr>
        <w:t xml:space="preserve">  </w:t>
      </w:r>
    </w:p>
    <w:p w14:paraId="551CBD9B" w14:textId="77777777" w:rsidR="00AE41F0" w:rsidRDefault="00AE41F0" w:rsidP="00AE41F0">
      <w:pPr>
        <w:pStyle w:val="ListParagraph"/>
        <w:numPr>
          <w:ilvl w:val="0"/>
          <w:numId w:val="56"/>
        </w:numPr>
        <w:spacing w:line="240" w:lineRule="auto"/>
        <w:rPr>
          <w:rFonts w:ascii="Arial" w:hAnsi="Arial" w:cs="Arial"/>
          <w:sz w:val="24"/>
          <w:szCs w:val="24"/>
        </w:rPr>
      </w:pPr>
      <w:r w:rsidRPr="001A13C0">
        <w:rPr>
          <w:rFonts w:ascii="Arial" w:hAnsi="Arial" w:cs="Arial"/>
          <w:sz w:val="24"/>
          <w:szCs w:val="24"/>
        </w:rPr>
        <w:t>Part A, Schedule of Expenditures for Direct Costs</w:t>
      </w:r>
    </w:p>
    <w:p w14:paraId="4AA2D4AD" w14:textId="77777777" w:rsidR="00AE41F0" w:rsidRPr="001A13C0" w:rsidRDefault="00AE41F0" w:rsidP="00AE41F0">
      <w:pPr>
        <w:pStyle w:val="ListParagraph"/>
        <w:spacing w:line="240" w:lineRule="auto"/>
        <w:ind w:left="1080"/>
        <w:rPr>
          <w:rFonts w:ascii="Arial" w:hAnsi="Arial" w:cs="Arial"/>
          <w:sz w:val="24"/>
          <w:szCs w:val="24"/>
        </w:rPr>
      </w:pPr>
    </w:p>
    <w:p w14:paraId="63C5C3DE" w14:textId="77777777" w:rsidR="00AE41F0" w:rsidRPr="001A13C0" w:rsidRDefault="00AE41F0" w:rsidP="00AE41F0">
      <w:pPr>
        <w:pStyle w:val="ListParagraph"/>
        <w:numPr>
          <w:ilvl w:val="0"/>
          <w:numId w:val="57"/>
        </w:numPr>
        <w:spacing w:line="240" w:lineRule="auto"/>
        <w:rPr>
          <w:rFonts w:ascii="Arial" w:hAnsi="Arial" w:cs="Arial"/>
          <w:sz w:val="24"/>
          <w:szCs w:val="24"/>
        </w:rPr>
      </w:pPr>
      <w:r w:rsidRPr="001A13C0">
        <w:rPr>
          <w:rFonts w:ascii="Arial" w:hAnsi="Arial" w:cs="Arial"/>
          <w:sz w:val="24"/>
          <w:szCs w:val="24"/>
        </w:rPr>
        <w:t>In column B (‘From Accounting Records’), the provider must enter the program’s total costs by applicable line item using their general ledger as reference.</w:t>
      </w:r>
    </w:p>
    <w:p w14:paraId="34F7FF61" w14:textId="229DF4C1" w:rsidR="00AE41F0" w:rsidRPr="001A13C0" w:rsidRDefault="00AE41F0" w:rsidP="00AE41F0">
      <w:pPr>
        <w:pStyle w:val="ListParagraph"/>
        <w:numPr>
          <w:ilvl w:val="0"/>
          <w:numId w:val="57"/>
        </w:numPr>
        <w:spacing w:line="240" w:lineRule="auto"/>
        <w:rPr>
          <w:rFonts w:ascii="Arial" w:hAnsi="Arial" w:cs="Arial"/>
          <w:sz w:val="24"/>
          <w:szCs w:val="24"/>
        </w:rPr>
      </w:pPr>
      <w:r w:rsidRPr="001A13C0">
        <w:rPr>
          <w:rFonts w:ascii="Arial" w:hAnsi="Arial" w:cs="Arial"/>
          <w:sz w:val="24"/>
          <w:szCs w:val="24"/>
        </w:rPr>
        <w:t>In columns D-</w:t>
      </w:r>
      <w:r>
        <w:rPr>
          <w:rFonts w:ascii="Arial" w:hAnsi="Arial" w:cs="Arial"/>
          <w:sz w:val="24"/>
          <w:szCs w:val="24"/>
        </w:rPr>
        <w:t>J</w:t>
      </w:r>
      <w:r w:rsidRPr="001A13C0">
        <w:rPr>
          <w:rFonts w:ascii="Arial" w:hAnsi="Arial" w:cs="Arial"/>
          <w:sz w:val="24"/>
          <w:szCs w:val="24"/>
        </w:rPr>
        <w:t xml:space="preserve">, enter total </w:t>
      </w:r>
      <w:r>
        <w:rPr>
          <w:rFonts w:ascii="Arial" w:hAnsi="Arial" w:cs="Arial"/>
          <w:sz w:val="24"/>
          <w:szCs w:val="24"/>
        </w:rPr>
        <w:t xml:space="preserve">costs </w:t>
      </w:r>
      <w:r w:rsidRPr="001A13C0">
        <w:rPr>
          <w:rFonts w:ascii="Arial" w:hAnsi="Arial" w:cs="Arial"/>
          <w:sz w:val="24"/>
          <w:szCs w:val="24"/>
        </w:rPr>
        <w:t xml:space="preserve">by line item that are directly attributable to each cost center/modality provided, including other SUD services and non-SUD services if applicable.  Examples of other SUD services include </w:t>
      </w:r>
      <w:r w:rsidRPr="001A13C0">
        <w:rPr>
          <w:rFonts w:ascii="Arial" w:hAnsi="Arial" w:cs="Arial"/>
          <w:sz w:val="24"/>
          <w:szCs w:val="24"/>
        </w:rPr>
        <w:lastRenderedPageBreak/>
        <w:t xml:space="preserve">services provided with SAPT funds. Examples of non-SUD services include mental health, primary care, or any other program that shared costs with the DMC program. </w:t>
      </w:r>
    </w:p>
    <w:p w14:paraId="290CFD03" w14:textId="3EEA556F" w:rsidR="00AE41F0" w:rsidRDefault="00AE41F0" w:rsidP="00AE41F0">
      <w:pPr>
        <w:pStyle w:val="ListParagraph"/>
        <w:numPr>
          <w:ilvl w:val="0"/>
          <w:numId w:val="57"/>
        </w:numPr>
        <w:spacing w:line="240" w:lineRule="auto"/>
        <w:rPr>
          <w:rFonts w:ascii="Arial" w:hAnsi="Arial" w:cs="Arial"/>
          <w:sz w:val="24"/>
          <w:szCs w:val="24"/>
        </w:rPr>
      </w:pPr>
      <w:r w:rsidRPr="001A13C0">
        <w:rPr>
          <w:rFonts w:ascii="Arial" w:hAnsi="Arial" w:cs="Arial"/>
          <w:sz w:val="24"/>
          <w:szCs w:val="24"/>
        </w:rPr>
        <w:t xml:space="preserve">In column </w:t>
      </w:r>
      <w:r>
        <w:rPr>
          <w:rFonts w:ascii="Arial" w:hAnsi="Arial" w:cs="Arial"/>
          <w:sz w:val="24"/>
          <w:szCs w:val="24"/>
        </w:rPr>
        <w:t>M</w:t>
      </w:r>
      <w:r w:rsidRPr="001A13C0">
        <w:rPr>
          <w:rFonts w:ascii="Arial" w:hAnsi="Arial" w:cs="Arial"/>
          <w:sz w:val="24"/>
          <w:szCs w:val="24"/>
        </w:rPr>
        <w:t xml:space="preserve">, </w:t>
      </w:r>
      <w:r>
        <w:rPr>
          <w:rFonts w:ascii="Arial" w:hAnsi="Arial" w:cs="Arial"/>
          <w:sz w:val="24"/>
          <w:szCs w:val="24"/>
        </w:rPr>
        <w:t xml:space="preserve">enter an explanation of how direct costs were determined and assigned to the each cost center/modality </w:t>
      </w:r>
      <w:r w:rsidRPr="001A13C0">
        <w:rPr>
          <w:rFonts w:ascii="Arial" w:hAnsi="Arial" w:cs="Arial"/>
          <w:sz w:val="24"/>
          <w:szCs w:val="24"/>
        </w:rPr>
        <w:t xml:space="preserve">(in accordance with applicable cost reimbursement standards).  Some sources that are acceptable for determining and attributing direct costs include time sheets/payroll records, invoices, and rent/lease records.  </w:t>
      </w:r>
      <w:r>
        <w:rPr>
          <w:rFonts w:ascii="Arial" w:hAnsi="Arial" w:cs="Arial"/>
          <w:sz w:val="24"/>
          <w:szCs w:val="24"/>
        </w:rPr>
        <w:t>Add a footnote if necessary.</w:t>
      </w:r>
    </w:p>
    <w:p w14:paraId="72532E95" w14:textId="63FA1168" w:rsidR="00AE41F0" w:rsidRDefault="00AE41F0" w:rsidP="00AE41F0">
      <w:pPr>
        <w:pStyle w:val="ListParagraph"/>
        <w:numPr>
          <w:ilvl w:val="0"/>
          <w:numId w:val="57"/>
        </w:numPr>
        <w:spacing w:line="240" w:lineRule="auto"/>
        <w:rPr>
          <w:rFonts w:ascii="Arial" w:hAnsi="Arial" w:cs="Arial"/>
          <w:sz w:val="24"/>
          <w:szCs w:val="24"/>
        </w:rPr>
      </w:pPr>
      <w:r>
        <w:rPr>
          <w:rFonts w:ascii="Arial" w:hAnsi="Arial" w:cs="Arial"/>
          <w:sz w:val="24"/>
          <w:szCs w:val="24"/>
        </w:rPr>
        <w:t>The work</w:t>
      </w:r>
      <w:r w:rsidR="00B2023F">
        <w:rPr>
          <w:rFonts w:ascii="Arial" w:hAnsi="Arial" w:cs="Arial"/>
          <w:sz w:val="24"/>
          <w:szCs w:val="24"/>
        </w:rPr>
        <w:t xml:space="preserve">sheet </w:t>
      </w:r>
      <w:r>
        <w:rPr>
          <w:rFonts w:ascii="Arial" w:hAnsi="Arial" w:cs="Arial"/>
          <w:sz w:val="24"/>
          <w:szCs w:val="24"/>
        </w:rPr>
        <w:t xml:space="preserve">identifies the direct cost categories for each cost center/modality and uses the percentage of direct costs to allocate indirect costs. </w:t>
      </w:r>
    </w:p>
    <w:p w14:paraId="7C2F09CE" w14:textId="77777777" w:rsidR="00AE41F0" w:rsidRPr="001A13C0" w:rsidRDefault="00AE41F0" w:rsidP="00AE41F0">
      <w:pPr>
        <w:pStyle w:val="ListParagraph"/>
        <w:numPr>
          <w:ilvl w:val="0"/>
          <w:numId w:val="57"/>
        </w:numPr>
        <w:spacing w:line="240" w:lineRule="auto"/>
        <w:rPr>
          <w:rFonts w:ascii="Arial" w:hAnsi="Arial" w:cs="Arial"/>
          <w:sz w:val="24"/>
          <w:szCs w:val="24"/>
        </w:rPr>
      </w:pPr>
      <w:r w:rsidRPr="000574C8">
        <w:rPr>
          <w:rFonts w:ascii="Arial" w:hAnsi="Arial" w:cs="Arial"/>
          <w:sz w:val="24"/>
          <w:szCs w:val="24"/>
        </w:rPr>
        <w:t>The worksheet also distributes total general ledger indirect costs or cognizant agency-approved indirect cost rate using the percentage of total direct program costs.</w:t>
      </w:r>
      <w:r>
        <w:rPr>
          <w:rStyle w:val="FootnoteReference"/>
          <w:rFonts w:ascii="Arial" w:hAnsi="Arial" w:cs="Arial"/>
          <w:sz w:val="24"/>
          <w:szCs w:val="24"/>
        </w:rPr>
        <w:footnoteReference w:id="1"/>
      </w:r>
    </w:p>
    <w:p w14:paraId="33981175" w14:textId="77777777" w:rsidR="00AE41F0" w:rsidRDefault="00AE41F0" w:rsidP="00AE41F0">
      <w:pPr>
        <w:pStyle w:val="ListParagraph"/>
        <w:spacing w:line="240" w:lineRule="auto"/>
        <w:ind w:left="1080"/>
        <w:rPr>
          <w:rFonts w:ascii="Arial" w:hAnsi="Arial" w:cs="Arial"/>
          <w:sz w:val="24"/>
          <w:szCs w:val="24"/>
        </w:rPr>
      </w:pPr>
    </w:p>
    <w:p w14:paraId="439E957C" w14:textId="77777777" w:rsidR="00C541ED" w:rsidRDefault="00AE41F0" w:rsidP="00C541ED">
      <w:pPr>
        <w:pStyle w:val="ListParagraph"/>
        <w:numPr>
          <w:ilvl w:val="0"/>
          <w:numId w:val="56"/>
        </w:numPr>
        <w:spacing w:line="240" w:lineRule="auto"/>
        <w:ind w:left="1224"/>
        <w:rPr>
          <w:rFonts w:ascii="Arial" w:hAnsi="Arial" w:cs="Arial"/>
          <w:sz w:val="24"/>
          <w:szCs w:val="24"/>
        </w:rPr>
      </w:pPr>
      <w:r w:rsidRPr="001A13C0">
        <w:rPr>
          <w:rFonts w:ascii="Arial" w:hAnsi="Arial" w:cs="Arial"/>
          <w:sz w:val="24"/>
          <w:szCs w:val="24"/>
        </w:rPr>
        <w:t>Part B, Supporting Schedules for Indirect Costs</w:t>
      </w:r>
    </w:p>
    <w:p w14:paraId="0F74741A" w14:textId="77777777" w:rsidR="00C541ED" w:rsidRDefault="00AE41F0" w:rsidP="00C541ED">
      <w:pPr>
        <w:pStyle w:val="ListParagraph"/>
        <w:numPr>
          <w:ilvl w:val="1"/>
          <w:numId w:val="56"/>
        </w:numPr>
        <w:spacing w:line="240" w:lineRule="auto"/>
        <w:rPr>
          <w:rFonts w:ascii="Arial" w:hAnsi="Arial" w:cs="Arial"/>
          <w:sz w:val="24"/>
          <w:szCs w:val="24"/>
        </w:rPr>
      </w:pPr>
      <w:r w:rsidRPr="00C541ED">
        <w:rPr>
          <w:rFonts w:ascii="Arial" w:hAnsi="Arial" w:cs="Arial"/>
          <w:sz w:val="24"/>
          <w:szCs w:val="24"/>
        </w:rPr>
        <w:t>There is no data entry required for this s</w:t>
      </w:r>
      <w:r w:rsidR="00C541ED" w:rsidRPr="00C541ED">
        <w:rPr>
          <w:rFonts w:ascii="Arial" w:hAnsi="Arial" w:cs="Arial"/>
          <w:sz w:val="24"/>
          <w:szCs w:val="24"/>
        </w:rPr>
        <w:t xml:space="preserve">ection. </w:t>
      </w:r>
    </w:p>
    <w:p w14:paraId="6C2685B6" w14:textId="72C52049" w:rsidR="00AE41F0" w:rsidRPr="00C541ED" w:rsidRDefault="00AE41F0" w:rsidP="00C541ED">
      <w:pPr>
        <w:pStyle w:val="ListParagraph"/>
        <w:numPr>
          <w:ilvl w:val="1"/>
          <w:numId w:val="56"/>
        </w:numPr>
        <w:spacing w:line="240" w:lineRule="auto"/>
        <w:rPr>
          <w:rFonts w:ascii="Arial" w:hAnsi="Arial" w:cs="Arial"/>
          <w:sz w:val="24"/>
          <w:szCs w:val="24"/>
        </w:rPr>
      </w:pPr>
      <w:r w:rsidRPr="00C541ED">
        <w:rPr>
          <w:rFonts w:ascii="Arial" w:hAnsi="Arial" w:cs="Arial"/>
          <w:sz w:val="24"/>
          <w:szCs w:val="24"/>
        </w:rPr>
        <w:t xml:space="preserve">The indirect cost for each line item and modality is computed based on the percentage of direct costs (the standard methodology) from Part A.  </w:t>
      </w:r>
    </w:p>
    <w:p w14:paraId="1CE4778D" w14:textId="77777777" w:rsidR="00AE41F0" w:rsidRDefault="00AE41F0" w:rsidP="00AE41F0">
      <w:pPr>
        <w:spacing w:after="0" w:line="240" w:lineRule="auto"/>
        <w:ind w:left="1080"/>
        <w:rPr>
          <w:rFonts w:ascii="Arial" w:hAnsi="Arial" w:cs="Arial"/>
          <w:sz w:val="24"/>
          <w:szCs w:val="24"/>
        </w:rPr>
      </w:pPr>
    </w:p>
    <w:p w14:paraId="1031CD71" w14:textId="77777777" w:rsidR="00C541ED" w:rsidRDefault="00AE41F0" w:rsidP="00C541ED">
      <w:pPr>
        <w:pStyle w:val="ListParagraph"/>
        <w:numPr>
          <w:ilvl w:val="0"/>
          <w:numId w:val="56"/>
        </w:numPr>
        <w:spacing w:after="0" w:line="240" w:lineRule="auto"/>
        <w:ind w:left="1224"/>
        <w:rPr>
          <w:rFonts w:ascii="Arial" w:hAnsi="Arial" w:cs="Arial"/>
          <w:sz w:val="24"/>
          <w:szCs w:val="24"/>
        </w:rPr>
      </w:pPr>
      <w:r w:rsidRPr="001A13C0">
        <w:rPr>
          <w:rFonts w:ascii="Arial" w:hAnsi="Arial" w:cs="Arial"/>
          <w:sz w:val="24"/>
          <w:szCs w:val="24"/>
        </w:rPr>
        <w:t>Part C, Report of Expenditures for Total Costs</w:t>
      </w:r>
    </w:p>
    <w:p w14:paraId="27D93E43" w14:textId="77777777" w:rsidR="00C541ED" w:rsidRDefault="00560084" w:rsidP="00C541ED">
      <w:pPr>
        <w:pStyle w:val="ListParagraph"/>
        <w:numPr>
          <w:ilvl w:val="1"/>
          <w:numId w:val="56"/>
        </w:numPr>
        <w:spacing w:after="0" w:line="240" w:lineRule="auto"/>
        <w:rPr>
          <w:rFonts w:ascii="Arial" w:hAnsi="Arial" w:cs="Arial"/>
          <w:sz w:val="24"/>
          <w:szCs w:val="24"/>
        </w:rPr>
      </w:pPr>
      <w:r w:rsidRPr="00C541ED">
        <w:rPr>
          <w:rFonts w:ascii="Arial" w:hAnsi="Arial" w:cs="Arial"/>
          <w:sz w:val="24"/>
          <w:szCs w:val="24"/>
        </w:rPr>
        <w:t>There is no data entry required for this section.</w:t>
      </w:r>
    </w:p>
    <w:p w14:paraId="31079001" w14:textId="77777777" w:rsidR="00C541ED" w:rsidRDefault="00AE41F0" w:rsidP="00C541ED">
      <w:pPr>
        <w:pStyle w:val="ListParagraph"/>
        <w:numPr>
          <w:ilvl w:val="1"/>
          <w:numId w:val="56"/>
        </w:numPr>
        <w:spacing w:after="0" w:line="240" w:lineRule="auto"/>
        <w:rPr>
          <w:rFonts w:ascii="Arial" w:hAnsi="Arial" w:cs="Arial"/>
          <w:sz w:val="24"/>
          <w:szCs w:val="24"/>
        </w:rPr>
      </w:pPr>
      <w:r w:rsidRPr="00C541ED">
        <w:rPr>
          <w:rFonts w:ascii="Arial" w:hAnsi="Arial" w:cs="Arial"/>
          <w:sz w:val="24"/>
          <w:szCs w:val="24"/>
        </w:rPr>
        <w:t>The indirect costs that were calculated in Part B are totaled in Part C.</w:t>
      </w:r>
    </w:p>
    <w:p w14:paraId="2498647D" w14:textId="4EDA8AB1" w:rsidR="00AE41F0" w:rsidRPr="00C541ED" w:rsidRDefault="00AE41F0" w:rsidP="00C541ED">
      <w:pPr>
        <w:pStyle w:val="ListParagraph"/>
        <w:numPr>
          <w:ilvl w:val="1"/>
          <w:numId w:val="56"/>
        </w:numPr>
        <w:spacing w:after="0" w:line="240" w:lineRule="auto"/>
        <w:rPr>
          <w:rFonts w:ascii="Arial" w:hAnsi="Arial" w:cs="Arial"/>
          <w:sz w:val="24"/>
          <w:szCs w:val="24"/>
        </w:rPr>
      </w:pPr>
      <w:r w:rsidRPr="00C541ED">
        <w:rPr>
          <w:rFonts w:ascii="Arial" w:hAnsi="Arial" w:cs="Arial"/>
          <w:sz w:val="24"/>
          <w:szCs w:val="24"/>
        </w:rPr>
        <w:t>The overall total should match the total from Part A.</w:t>
      </w:r>
    </w:p>
    <w:p w14:paraId="76CDFE9E" w14:textId="50A85B90" w:rsidR="00AE41F0" w:rsidRDefault="00AE41F0" w:rsidP="00606A16">
      <w:pPr>
        <w:pStyle w:val="ListParagraph"/>
        <w:spacing w:after="0" w:line="240" w:lineRule="auto"/>
        <w:ind w:left="1440"/>
        <w:rPr>
          <w:rFonts w:ascii="Arial" w:hAnsi="Arial" w:cs="Arial"/>
          <w:sz w:val="24"/>
          <w:szCs w:val="24"/>
        </w:rPr>
      </w:pPr>
    </w:p>
    <w:p w14:paraId="2057939E" w14:textId="3FB84307" w:rsidR="00E620BB" w:rsidRPr="006B24AD" w:rsidRDefault="00383F30" w:rsidP="009218A8">
      <w:pPr>
        <w:spacing w:after="0" w:line="240" w:lineRule="auto"/>
        <w:ind w:firstLine="720"/>
        <w:rPr>
          <w:rFonts w:ascii="Arial" w:hAnsi="Arial" w:cs="Arial"/>
          <w:b/>
          <w:sz w:val="24"/>
          <w:szCs w:val="24"/>
          <w:u w:val="single"/>
        </w:rPr>
      </w:pPr>
      <w:r>
        <w:rPr>
          <w:rFonts w:ascii="Arial" w:hAnsi="Arial" w:cs="Arial"/>
          <w:b/>
          <w:sz w:val="24"/>
          <w:szCs w:val="24"/>
          <w:u w:val="single"/>
        </w:rPr>
        <w:t>Detailed Costs</w:t>
      </w:r>
      <w:r w:rsidR="00864D25">
        <w:rPr>
          <w:rFonts w:ascii="Arial" w:hAnsi="Arial" w:cs="Arial"/>
          <w:b/>
          <w:sz w:val="24"/>
          <w:szCs w:val="24"/>
          <w:u w:val="single"/>
        </w:rPr>
        <w:t xml:space="preserve"> Worksheet</w:t>
      </w:r>
      <w:r w:rsidR="0067487C">
        <w:rPr>
          <w:rFonts w:ascii="Arial" w:hAnsi="Arial" w:cs="Arial"/>
          <w:b/>
          <w:sz w:val="24"/>
          <w:szCs w:val="24"/>
          <w:u w:val="single"/>
        </w:rPr>
        <w:t>s</w:t>
      </w:r>
      <w:r w:rsidR="006F4904">
        <w:rPr>
          <w:rFonts w:ascii="Arial" w:hAnsi="Arial" w:cs="Arial"/>
          <w:b/>
          <w:sz w:val="24"/>
          <w:szCs w:val="24"/>
          <w:u w:val="single"/>
        </w:rPr>
        <w:t xml:space="preserve"> (</w:t>
      </w:r>
      <w:r w:rsidR="00624F5C">
        <w:rPr>
          <w:rFonts w:ascii="Arial" w:hAnsi="Arial" w:cs="Arial"/>
          <w:b/>
          <w:sz w:val="24"/>
          <w:szCs w:val="24"/>
          <w:u w:val="single"/>
        </w:rPr>
        <w:t>OT</w:t>
      </w:r>
      <w:r w:rsidR="006F4904">
        <w:rPr>
          <w:rFonts w:ascii="Arial" w:hAnsi="Arial" w:cs="Arial"/>
          <w:b/>
          <w:sz w:val="24"/>
          <w:szCs w:val="24"/>
          <w:u w:val="single"/>
        </w:rPr>
        <w:t>, PH, IOT, RES</w:t>
      </w:r>
      <w:r w:rsidR="00092CC0">
        <w:rPr>
          <w:rFonts w:ascii="Arial" w:hAnsi="Arial" w:cs="Arial"/>
          <w:b/>
          <w:sz w:val="24"/>
          <w:szCs w:val="24"/>
          <w:u w:val="single"/>
        </w:rPr>
        <w:t>, NTP</w:t>
      </w:r>
      <w:r w:rsidR="006F4904">
        <w:rPr>
          <w:rFonts w:ascii="Arial" w:hAnsi="Arial" w:cs="Arial"/>
          <w:b/>
          <w:sz w:val="24"/>
          <w:szCs w:val="24"/>
          <w:u w:val="single"/>
        </w:rPr>
        <w:t>)</w:t>
      </w:r>
    </w:p>
    <w:p w14:paraId="5AC6D01D" w14:textId="77777777" w:rsidR="00D87842" w:rsidRPr="005541E5" w:rsidRDefault="00D87842" w:rsidP="009218A8">
      <w:pPr>
        <w:spacing w:after="0" w:line="240" w:lineRule="auto"/>
        <w:rPr>
          <w:rFonts w:ascii="Arial" w:hAnsi="Arial" w:cs="Arial"/>
          <w:sz w:val="24"/>
          <w:szCs w:val="24"/>
        </w:rPr>
      </w:pPr>
    </w:p>
    <w:p w14:paraId="182ADFD3" w14:textId="25022053" w:rsidR="00E24DDB" w:rsidRPr="006B24AD" w:rsidRDefault="005541E5" w:rsidP="009218A8">
      <w:pPr>
        <w:spacing w:after="0" w:line="240" w:lineRule="auto"/>
        <w:ind w:left="720"/>
        <w:rPr>
          <w:rFonts w:ascii="Arial" w:hAnsi="Arial" w:cs="Arial"/>
          <w:sz w:val="24"/>
          <w:szCs w:val="24"/>
        </w:rPr>
      </w:pPr>
      <w:r w:rsidRPr="005541E5">
        <w:rPr>
          <w:rFonts w:ascii="Arial" w:hAnsi="Arial" w:cs="Arial"/>
          <w:sz w:val="24"/>
          <w:szCs w:val="24"/>
        </w:rPr>
        <w:t>Th</w:t>
      </w:r>
      <w:r w:rsidR="00206718">
        <w:rPr>
          <w:rFonts w:ascii="Arial" w:hAnsi="Arial" w:cs="Arial"/>
          <w:sz w:val="24"/>
          <w:szCs w:val="24"/>
        </w:rPr>
        <w:t xml:space="preserve">is </w:t>
      </w:r>
      <w:r w:rsidRPr="005541E5">
        <w:rPr>
          <w:rFonts w:ascii="Arial" w:hAnsi="Arial" w:cs="Arial"/>
          <w:sz w:val="24"/>
          <w:szCs w:val="24"/>
        </w:rPr>
        <w:t>worksheet display</w:t>
      </w:r>
      <w:r w:rsidR="00206718">
        <w:rPr>
          <w:rFonts w:ascii="Arial" w:hAnsi="Arial" w:cs="Arial"/>
          <w:sz w:val="24"/>
          <w:szCs w:val="24"/>
        </w:rPr>
        <w:t>s</w:t>
      </w:r>
      <w:r w:rsidRPr="005541E5">
        <w:rPr>
          <w:rFonts w:ascii="Arial" w:hAnsi="Arial" w:cs="Arial"/>
          <w:sz w:val="24"/>
          <w:szCs w:val="24"/>
        </w:rPr>
        <w:t xml:space="preserve"> the results of all </w:t>
      </w:r>
      <w:r w:rsidR="00730EE5">
        <w:rPr>
          <w:rFonts w:ascii="Arial" w:hAnsi="Arial" w:cs="Arial"/>
          <w:sz w:val="24"/>
          <w:szCs w:val="24"/>
        </w:rPr>
        <w:t xml:space="preserve">cost </w:t>
      </w:r>
      <w:r w:rsidRPr="005541E5">
        <w:rPr>
          <w:rFonts w:ascii="Arial" w:hAnsi="Arial" w:cs="Arial"/>
          <w:sz w:val="24"/>
          <w:szCs w:val="24"/>
        </w:rPr>
        <w:t>calculations for the different modalities</w:t>
      </w:r>
      <w:r w:rsidR="006F4904">
        <w:rPr>
          <w:rFonts w:ascii="Arial" w:hAnsi="Arial" w:cs="Arial"/>
          <w:sz w:val="24"/>
          <w:szCs w:val="24"/>
        </w:rPr>
        <w:t xml:space="preserve"> or services</w:t>
      </w:r>
      <w:r w:rsidRPr="005541E5">
        <w:rPr>
          <w:rFonts w:ascii="Arial" w:hAnsi="Arial" w:cs="Arial"/>
          <w:sz w:val="24"/>
          <w:szCs w:val="24"/>
        </w:rPr>
        <w:t>.</w:t>
      </w:r>
      <w:r w:rsidRPr="001A30BB">
        <w:rPr>
          <w:rFonts w:ascii="Arial" w:hAnsi="Arial" w:cs="Arial"/>
          <w:sz w:val="20"/>
          <w:szCs w:val="20"/>
        </w:rPr>
        <w:t xml:space="preserve"> </w:t>
      </w:r>
      <w:r w:rsidR="00410B6F">
        <w:rPr>
          <w:rFonts w:ascii="Arial" w:hAnsi="Arial" w:cs="Arial"/>
          <w:sz w:val="20"/>
          <w:szCs w:val="20"/>
        </w:rPr>
        <w:t xml:space="preserve"> </w:t>
      </w:r>
      <w:r w:rsidR="00E24DDB">
        <w:rPr>
          <w:rFonts w:ascii="Arial" w:hAnsi="Arial" w:cs="Arial"/>
          <w:sz w:val="24"/>
          <w:szCs w:val="24"/>
        </w:rPr>
        <w:t>No data entry is necessary</w:t>
      </w:r>
      <w:r w:rsidR="00D36C59">
        <w:rPr>
          <w:rFonts w:ascii="Arial" w:hAnsi="Arial" w:cs="Arial"/>
          <w:sz w:val="24"/>
          <w:szCs w:val="24"/>
        </w:rPr>
        <w:t xml:space="preserve"> in this worksheet</w:t>
      </w:r>
      <w:r w:rsidR="004B244E">
        <w:rPr>
          <w:rFonts w:ascii="Arial" w:hAnsi="Arial" w:cs="Arial"/>
          <w:sz w:val="24"/>
          <w:szCs w:val="24"/>
        </w:rPr>
        <w:t>; i</w:t>
      </w:r>
      <w:r w:rsidR="00E24DDB">
        <w:rPr>
          <w:rFonts w:ascii="Arial" w:hAnsi="Arial" w:cs="Arial"/>
          <w:sz w:val="24"/>
          <w:szCs w:val="24"/>
        </w:rPr>
        <w:t>nformation automatically populate</w:t>
      </w:r>
      <w:r w:rsidR="0091129E">
        <w:rPr>
          <w:rFonts w:ascii="Arial" w:hAnsi="Arial" w:cs="Arial"/>
          <w:sz w:val="24"/>
          <w:szCs w:val="24"/>
        </w:rPr>
        <w:t>s</w:t>
      </w:r>
      <w:r w:rsidR="004B244E">
        <w:rPr>
          <w:rFonts w:ascii="Arial" w:hAnsi="Arial" w:cs="Arial"/>
          <w:sz w:val="24"/>
          <w:szCs w:val="24"/>
        </w:rPr>
        <w:t xml:space="preserve"> from other worksheets. </w:t>
      </w:r>
    </w:p>
    <w:p w14:paraId="3FD95BB9" w14:textId="77777777" w:rsidR="00D87842" w:rsidRPr="006B24AD" w:rsidRDefault="00D87842" w:rsidP="009218A8">
      <w:pPr>
        <w:spacing w:after="0" w:line="240" w:lineRule="auto"/>
        <w:rPr>
          <w:rFonts w:ascii="Arial" w:hAnsi="Arial" w:cs="Arial"/>
          <w:sz w:val="24"/>
          <w:szCs w:val="24"/>
        </w:rPr>
      </w:pPr>
    </w:p>
    <w:p w14:paraId="10A09948" w14:textId="7F995919" w:rsidR="00D87842" w:rsidRPr="006B24AD" w:rsidRDefault="00D87842" w:rsidP="0091129E">
      <w:pPr>
        <w:spacing w:after="0" w:line="240" w:lineRule="auto"/>
        <w:ind w:left="720"/>
        <w:rPr>
          <w:rFonts w:ascii="Arial" w:hAnsi="Arial" w:cs="Arial"/>
          <w:b/>
          <w:sz w:val="24"/>
          <w:szCs w:val="24"/>
          <w:u w:val="single"/>
        </w:rPr>
      </w:pPr>
      <w:r w:rsidRPr="006B24AD">
        <w:rPr>
          <w:rFonts w:ascii="Arial" w:hAnsi="Arial" w:cs="Arial"/>
          <w:b/>
          <w:sz w:val="24"/>
          <w:szCs w:val="24"/>
          <w:u w:val="single"/>
        </w:rPr>
        <w:t xml:space="preserve">Detailed Adjustments </w:t>
      </w:r>
      <w:r w:rsidR="00864D25">
        <w:rPr>
          <w:rFonts w:ascii="Arial" w:hAnsi="Arial" w:cs="Arial"/>
          <w:b/>
          <w:sz w:val="24"/>
          <w:szCs w:val="24"/>
          <w:u w:val="single"/>
        </w:rPr>
        <w:t>Worksheet</w:t>
      </w:r>
      <w:r w:rsidR="0067487C">
        <w:rPr>
          <w:rFonts w:ascii="Arial" w:hAnsi="Arial" w:cs="Arial"/>
          <w:b/>
          <w:sz w:val="24"/>
          <w:szCs w:val="24"/>
          <w:u w:val="single"/>
        </w:rPr>
        <w:t>s</w:t>
      </w:r>
      <w:r w:rsidR="006F4904">
        <w:rPr>
          <w:rFonts w:ascii="Arial" w:hAnsi="Arial" w:cs="Arial"/>
          <w:b/>
          <w:sz w:val="24"/>
          <w:szCs w:val="24"/>
          <w:u w:val="single"/>
        </w:rPr>
        <w:t xml:space="preserve"> (</w:t>
      </w:r>
      <w:r w:rsidR="00624F5C">
        <w:rPr>
          <w:rFonts w:ascii="Arial" w:hAnsi="Arial" w:cs="Arial"/>
          <w:b/>
          <w:sz w:val="24"/>
          <w:szCs w:val="24"/>
          <w:u w:val="single"/>
        </w:rPr>
        <w:t>OT</w:t>
      </w:r>
      <w:r w:rsidR="006F4904">
        <w:rPr>
          <w:rFonts w:ascii="Arial" w:hAnsi="Arial" w:cs="Arial"/>
          <w:b/>
          <w:sz w:val="24"/>
          <w:szCs w:val="24"/>
          <w:u w:val="single"/>
        </w:rPr>
        <w:t>, PH, IOT, RES</w:t>
      </w:r>
      <w:r w:rsidR="00092CC0">
        <w:rPr>
          <w:rFonts w:ascii="Arial" w:hAnsi="Arial" w:cs="Arial"/>
          <w:b/>
          <w:sz w:val="24"/>
          <w:szCs w:val="24"/>
          <w:u w:val="single"/>
        </w:rPr>
        <w:t>, NTP</w:t>
      </w:r>
      <w:r w:rsidR="006F4904">
        <w:rPr>
          <w:rFonts w:ascii="Arial" w:hAnsi="Arial" w:cs="Arial"/>
          <w:b/>
          <w:sz w:val="24"/>
          <w:szCs w:val="24"/>
          <w:u w:val="single"/>
        </w:rPr>
        <w:t>)</w:t>
      </w:r>
    </w:p>
    <w:p w14:paraId="7C252729" w14:textId="77777777" w:rsidR="00D87842" w:rsidRPr="005541E5" w:rsidRDefault="00D87842" w:rsidP="0091129E">
      <w:pPr>
        <w:spacing w:after="0" w:line="240" w:lineRule="auto"/>
        <w:ind w:left="720"/>
        <w:rPr>
          <w:rFonts w:ascii="Arial" w:hAnsi="Arial" w:cs="Arial"/>
          <w:sz w:val="24"/>
          <w:szCs w:val="24"/>
        </w:rPr>
      </w:pPr>
    </w:p>
    <w:p w14:paraId="3D692FB3" w14:textId="5A8AB746" w:rsidR="00092CC0" w:rsidRPr="00606A16" w:rsidRDefault="00092CC0" w:rsidP="00606A16">
      <w:pPr>
        <w:spacing w:line="240" w:lineRule="auto"/>
        <w:ind w:left="720"/>
        <w:rPr>
          <w:rFonts w:ascii="Arial" w:hAnsi="Arial" w:cs="Arial"/>
          <w:sz w:val="24"/>
          <w:szCs w:val="24"/>
        </w:rPr>
      </w:pPr>
      <w:r w:rsidRPr="00606A16">
        <w:rPr>
          <w:rFonts w:ascii="Arial" w:hAnsi="Arial" w:cs="Arial"/>
          <w:sz w:val="24"/>
          <w:szCs w:val="24"/>
        </w:rPr>
        <w:t>This is the first worksheet for each of the levels of care/modalities (</w:t>
      </w:r>
      <w:r w:rsidR="00624F5C">
        <w:rPr>
          <w:rFonts w:ascii="Arial" w:hAnsi="Arial" w:cs="Arial"/>
          <w:sz w:val="24"/>
          <w:szCs w:val="24"/>
        </w:rPr>
        <w:t>OT</w:t>
      </w:r>
      <w:r w:rsidRPr="00606A16">
        <w:rPr>
          <w:rFonts w:ascii="Arial" w:hAnsi="Arial" w:cs="Arial"/>
          <w:sz w:val="24"/>
          <w:szCs w:val="24"/>
        </w:rPr>
        <w:t xml:space="preserve">, PH, IOT, Residential and NTP). For each level of care/modality provided, the provider </w:t>
      </w:r>
      <w:r w:rsidRPr="00606A16">
        <w:rPr>
          <w:rFonts w:ascii="Arial" w:hAnsi="Arial" w:cs="Arial"/>
          <w:sz w:val="24"/>
          <w:szCs w:val="24"/>
        </w:rPr>
        <w:lastRenderedPageBreak/>
        <w:t xml:space="preserve">must break out their costs between the various types of service/program (such as individual or group, perinatal or non-perinatal).  </w:t>
      </w:r>
    </w:p>
    <w:p w14:paraId="0757BA40" w14:textId="54745070" w:rsidR="00092CC0" w:rsidRPr="00606A16" w:rsidRDefault="00092CC0" w:rsidP="00606A16">
      <w:pPr>
        <w:spacing w:line="240" w:lineRule="auto"/>
        <w:ind w:left="720"/>
        <w:rPr>
          <w:rFonts w:ascii="Arial" w:hAnsi="Arial" w:cs="Arial"/>
          <w:sz w:val="24"/>
          <w:szCs w:val="24"/>
        </w:rPr>
      </w:pPr>
      <w:r w:rsidRPr="00606A16">
        <w:rPr>
          <w:rFonts w:ascii="Arial" w:hAnsi="Arial" w:cs="Arial"/>
          <w:sz w:val="24"/>
          <w:szCs w:val="24"/>
        </w:rPr>
        <w:t xml:space="preserve">Costs directly related only to services provided to clients funded by a specific program and funding source (such as perinatal) must be removed </w:t>
      </w:r>
      <w:r w:rsidR="005050F6" w:rsidRPr="00606A16">
        <w:rPr>
          <w:rFonts w:ascii="Arial" w:hAnsi="Arial" w:cs="Arial"/>
          <w:sz w:val="24"/>
          <w:szCs w:val="24"/>
        </w:rPr>
        <w:t xml:space="preserve">in the Overall Detailed Costs tab </w:t>
      </w:r>
      <w:r w:rsidRPr="00606A16">
        <w:rPr>
          <w:rFonts w:ascii="Arial" w:hAnsi="Arial" w:cs="Arial"/>
          <w:sz w:val="24"/>
          <w:szCs w:val="24"/>
        </w:rPr>
        <w:t>before calculating the allowable modality costs.  Then the allowable adjusted gross modality costs are allocated to the different services within the modality.  Finally, those direct costs are added back</w:t>
      </w:r>
      <w:r w:rsidR="005050F6" w:rsidRPr="00606A16">
        <w:rPr>
          <w:rFonts w:ascii="Arial" w:hAnsi="Arial" w:cs="Arial"/>
          <w:sz w:val="24"/>
          <w:szCs w:val="24"/>
        </w:rPr>
        <w:t xml:space="preserve"> (to be entered in Detailed Adjustments tab)</w:t>
      </w:r>
      <w:r w:rsidRPr="00606A16">
        <w:rPr>
          <w:rFonts w:ascii="Arial" w:hAnsi="Arial" w:cs="Arial"/>
          <w:sz w:val="24"/>
          <w:szCs w:val="24"/>
        </w:rPr>
        <w:t xml:space="preserve"> to the program type that benefited from the direct costs.  (For example, perinatal-related costs, such as child care expenses, are removed from the total modality cost and added back to the perinatal program.)</w:t>
      </w:r>
    </w:p>
    <w:p w14:paraId="4B90E305" w14:textId="41D49877" w:rsidR="00092CC0" w:rsidRPr="00A833BD" w:rsidRDefault="00092CC0" w:rsidP="00092CC0">
      <w:pPr>
        <w:pStyle w:val="ListParagraph"/>
        <w:numPr>
          <w:ilvl w:val="0"/>
          <w:numId w:val="60"/>
        </w:numPr>
        <w:spacing w:line="240" w:lineRule="auto"/>
        <w:rPr>
          <w:rFonts w:ascii="Arial" w:hAnsi="Arial" w:cs="Arial"/>
          <w:sz w:val="24"/>
          <w:szCs w:val="24"/>
        </w:rPr>
      </w:pPr>
      <w:r>
        <w:rPr>
          <w:rFonts w:ascii="Arial" w:hAnsi="Arial" w:cs="Arial"/>
          <w:sz w:val="24"/>
          <w:szCs w:val="24"/>
        </w:rPr>
        <w:t>In Section 1, ‘</w:t>
      </w:r>
      <w:r w:rsidRPr="00A833BD">
        <w:rPr>
          <w:rFonts w:ascii="Arial" w:hAnsi="Arial" w:cs="Arial"/>
          <w:sz w:val="24"/>
          <w:szCs w:val="24"/>
        </w:rPr>
        <w:t>DMC Unreimbursable Costs,</w:t>
      </w:r>
      <w:r>
        <w:rPr>
          <w:rFonts w:ascii="Arial" w:hAnsi="Arial" w:cs="Arial"/>
          <w:sz w:val="24"/>
          <w:szCs w:val="24"/>
        </w:rPr>
        <w:t>’</w:t>
      </w:r>
      <w:r w:rsidRPr="00A833BD">
        <w:rPr>
          <w:rFonts w:ascii="Arial" w:hAnsi="Arial" w:cs="Arial"/>
          <w:sz w:val="24"/>
          <w:szCs w:val="24"/>
        </w:rPr>
        <w:t xml:space="preserve"> enter the </w:t>
      </w:r>
      <w:r>
        <w:rPr>
          <w:rFonts w:ascii="Arial" w:hAnsi="Arial" w:cs="Arial"/>
          <w:sz w:val="24"/>
          <w:szCs w:val="24"/>
        </w:rPr>
        <w:t xml:space="preserve">costs that are </w:t>
      </w:r>
      <w:r w:rsidRPr="00606A16">
        <w:rPr>
          <w:rFonts w:ascii="Arial" w:hAnsi="Arial" w:cs="Arial"/>
          <w:b/>
          <w:sz w:val="24"/>
          <w:szCs w:val="24"/>
          <w:u w:val="single"/>
        </w:rPr>
        <w:t>not</w:t>
      </w:r>
      <w:r>
        <w:rPr>
          <w:rFonts w:ascii="Arial" w:hAnsi="Arial" w:cs="Arial"/>
          <w:sz w:val="24"/>
          <w:szCs w:val="24"/>
        </w:rPr>
        <w:t xml:space="preserve"> D</w:t>
      </w:r>
      <w:r w:rsidRPr="00A833BD">
        <w:rPr>
          <w:rFonts w:ascii="Arial" w:hAnsi="Arial" w:cs="Arial"/>
          <w:sz w:val="24"/>
          <w:szCs w:val="24"/>
        </w:rPr>
        <w:t xml:space="preserve">MC reimbursable, private and non-DMC, for the various </w:t>
      </w:r>
      <w:r>
        <w:rPr>
          <w:rFonts w:ascii="Arial" w:hAnsi="Arial" w:cs="Arial"/>
          <w:sz w:val="24"/>
          <w:szCs w:val="24"/>
        </w:rPr>
        <w:t xml:space="preserve">service/program </w:t>
      </w:r>
      <w:r w:rsidRPr="00A833BD">
        <w:rPr>
          <w:rFonts w:ascii="Arial" w:hAnsi="Arial" w:cs="Arial"/>
          <w:sz w:val="24"/>
          <w:szCs w:val="24"/>
        </w:rPr>
        <w:t xml:space="preserve">types that apply to the modality.  </w:t>
      </w:r>
    </w:p>
    <w:p w14:paraId="10621262" w14:textId="77777777" w:rsidR="00092CC0" w:rsidRPr="00A833BD" w:rsidRDefault="00092CC0" w:rsidP="00092CC0">
      <w:pPr>
        <w:pStyle w:val="ListParagraph"/>
        <w:numPr>
          <w:ilvl w:val="0"/>
          <w:numId w:val="60"/>
        </w:numPr>
        <w:spacing w:line="240" w:lineRule="auto"/>
        <w:rPr>
          <w:rFonts w:ascii="Arial" w:hAnsi="Arial" w:cs="Arial"/>
          <w:sz w:val="24"/>
          <w:szCs w:val="24"/>
        </w:rPr>
      </w:pPr>
      <w:r w:rsidRPr="00A833BD">
        <w:rPr>
          <w:rFonts w:ascii="Arial" w:hAnsi="Arial" w:cs="Arial"/>
          <w:sz w:val="24"/>
          <w:szCs w:val="24"/>
        </w:rPr>
        <w:t xml:space="preserve">In Section 2, </w:t>
      </w:r>
      <w:r>
        <w:rPr>
          <w:rFonts w:ascii="Arial" w:hAnsi="Arial" w:cs="Arial"/>
          <w:sz w:val="24"/>
          <w:szCs w:val="24"/>
        </w:rPr>
        <w:t>‘</w:t>
      </w:r>
      <w:r w:rsidRPr="00A833BD">
        <w:rPr>
          <w:rFonts w:ascii="Arial" w:hAnsi="Arial" w:cs="Arial"/>
          <w:sz w:val="24"/>
          <w:szCs w:val="24"/>
        </w:rPr>
        <w:t>Direct Costs,</w:t>
      </w:r>
      <w:r>
        <w:rPr>
          <w:rFonts w:ascii="Arial" w:hAnsi="Arial" w:cs="Arial"/>
          <w:sz w:val="24"/>
          <w:szCs w:val="24"/>
        </w:rPr>
        <w:t>’</w:t>
      </w:r>
      <w:r w:rsidRPr="00A833BD">
        <w:rPr>
          <w:rFonts w:ascii="Arial" w:hAnsi="Arial" w:cs="Arial"/>
          <w:sz w:val="24"/>
          <w:szCs w:val="24"/>
        </w:rPr>
        <w:t xml:space="preserve"> enter the direct costs charged to the cost center for private</w:t>
      </w:r>
      <w:r>
        <w:rPr>
          <w:rFonts w:ascii="Arial" w:hAnsi="Arial" w:cs="Arial"/>
          <w:sz w:val="24"/>
          <w:szCs w:val="24"/>
        </w:rPr>
        <w:t xml:space="preserve"> pay</w:t>
      </w:r>
      <w:r w:rsidRPr="00A833BD">
        <w:rPr>
          <w:rFonts w:ascii="Arial" w:hAnsi="Arial" w:cs="Arial"/>
          <w:sz w:val="24"/>
          <w:szCs w:val="24"/>
        </w:rPr>
        <w:t xml:space="preserve">, DMC, and non-DMC for each </w:t>
      </w:r>
      <w:r>
        <w:rPr>
          <w:rFonts w:ascii="Arial" w:hAnsi="Arial" w:cs="Arial"/>
          <w:sz w:val="24"/>
          <w:szCs w:val="24"/>
        </w:rPr>
        <w:t xml:space="preserve">service/program </w:t>
      </w:r>
      <w:r w:rsidRPr="00A833BD">
        <w:rPr>
          <w:rFonts w:ascii="Arial" w:hAnsi="Arial" w:cs="Arial"/>
          <w:sz w:val="24"/>
          <w:szCs w:val="24"/>
        </w:rPr>
        <w:t xml:space="preserve">type.  </w:t>
      </w:r>
    </w:p>
    <w:p w14:paraId="1D67EBBB" w14:textId="77777777" w:rsidR="00092CC0" w:rsidRDefault="00092CC0" w:rsidP="00092CC0">
      <w:pPr>
        <w:pStyle w:val="ListParagraph"/>
        <w:numPr>
          <w:ilvl w:val="0"/>
          <w:numId w:val="60"/>
        </w:numPr>
        <w:spacing w:line="240" w:lineRule="auto"/>
        <w:rPr>
          <w:rFonts w:ascii="Arial" w:hAnsi="Arial" w:cs="Arial"/>
          <w:sz w:val="24"/>
          <w:szCs w:val="24"/>
        </w:rPr>
      </w:pPr>
      <w:r>
        <w:rPr>
          <w:rFonts w:ascii="Arial" w:hAnsi="Arial" w:cs="Arial"/>
          <w:sz w:val="24"/>
          <w:szCs w:val="24"/>
        </w:rPr>
        <w:t xml:space="preserve">Data entered from Sections 1 and 2 </w:t>
      </w:r>
      <w:r w:rsidRPr="00A833BD">
        <w:rPr>
          <w:rFonts w:ascii="Arial" w:hAnsi="Arial" w:cs="Arial"/>
          <w:sz w:val="24"/>
          <w:szCs w:val="24"/>
        </w:rPr>
        <w:t>automatically populate</w:t>
      </w:r>
      <w:r>
        <w:rPr>
          <w:rFonts w:ascii="Arial" w:hAnsi="Arial" w:cs="Arial"/>
          <w:sz w:val="24"/>
          <w:szCs w:val="24"/>
        </w:rPr>
        <w:t xml:space="preserve"> cells in the</w:t>
      </w:r>
      <w:r w:rsidRPr="00A833BD">
        <w:rPr>
          <w:rFonts w:ascii="Arial" w:hAnsi="Arial" w:cs="Arial"/>
          <w:sz w:val="24"/>
          <w:szCs w:val="24"/>
        </w:rPr>
        <w:t xml:space="preserve"> corresponding modality’s Detailed Costs worksheet and Cost Allocation worksheet.</w:t>
      </w:r>
    </w:p>
    <w:p w14:paraId="090537C9" w14:textId="36BC723F" w:rsidR="00705884" w:rsidRPr="006B24AD" w:rsidRDefault="006835ED" w:rsidP="006F4904">
      <w:pPr>
        <w:spacing w:after="0" w:line="240" w:lineRule="auto"/>
        <w:ind w:firstLine="720"/>
        <w:rPr>
          <w:rFonts w:ascii="Arial" w:hAnsi="Arial" w:cs="Arial"/>
          <w:b/>
          <w:sz w:val="24"/>
          <w:szCs w:val="24"/>
          <w:u w:val="single"/>
        </w:rPr>
      </w:pPr>
      <w:r>
        <w:rPr>
          <w:rFonts w:ascii="Arial" w:hAnsi="Arial" w:cs="Arial"/>
          <w:b/>
          <w:sz w:val="24"/>
          <w:szCs w:val="24"/>
          <w:u w:val="single"/>
        </w:rPr>
        <w:t xml:space="preserve">Cost </w:t>
      </w:r>
      <w:r w:rsidR="00383F30">
        <w:rPr>
          <w:rFonts w:ascii="Arial" w:hAnsi="Arial" w:cs="Arial"/>
          <w:b/>
          <w:sz w:val="24"/>
          <w:szCs w:val="24"/>
          <w:u w:val="single"/>
        </w:rPr>
        <w:t>Allocation</w:t>
      </w:r>
      <w:r w:rsidR="00864D25">
        <w:rPr>
          <w:rFonts w:ascii="Arial" w:hAnsi="Arial" w:cs="Arial"/>
          <w:b/>
          <w:sz w:val="24"/>
          <w:szCs w:val="24"/>
          <w:u w:val="single"/>
        </w:rPr>
        <w:t xml:space="preserve"> Worksheet</w:t>
      </w:r>
      <w:r w:rsidR="008C326E">
        <w:rPr>
          <w:rFonts w:ascii="Arial" w:hAnsi="Arial" w:cs="Arial"/>
          <w:b/>
          <w:sz w:val="24"/>
          <w:szCs w:val="24"/>
          <w:u w:val="single"/>
        </w:rPr>
        <w:t>s (</w:t>
      </w:r>
      <w:r w:rsidR="00624F5C">
        <w:rPr>
          <w:rFonts w:ascii="Arial" w:hAnsi="Arial" w:cs="Arial"/>
          <w:b/>
          <w:sz w:val="24"/>
          <w:szCs w:val="24"/>
          <w:u w:val="single"/>
        </w:rPr>
        <w:t>OT</w:t>
      </w:r>
      <w:r w:rsidR="008C326E">
        <w:rPr>
          <w:rFonts w:ascii="Arial" w:hAnsi="Arial" w:cs="Arial"/>
          <w:b/>
          <w:sz w:val="24"/>
          <w:szCs w:val="24"/>
          <w:u w:val="single"/>
        </w:rPr>
        <w:t>, PH, IOT, RES</w:t>
      </w:r>
      <w:r w:rsidR="00092CC0">
        <w:rPr>
          <w:rFonts w:ascii="Arial" w:hAnsi="Arial" w:cs="Arial"/>
          <w:b/>
          <w:sz w:val="24"/>
          <w:szCs w:val="24"/>
          <w:u w:val="single"/>
        </w:rPr>
        <w:t>, NTP</w:t>
      </w:r>
      <w:r w:rsidR="008C326E">
        <w:rPr>
          <w:rFonts w:ascii="Arial" w:hAnsi="Arial" w:cs="Arial"/>
          <w:b/>
          <w:sz w:val="24"/>
          <w:szCs w:val="24"/>
          <w:u w:val="single"/>
        </w:rPr>
        <w:t>)</w:t>
      </w:r>
    </w:p>
    <w:p w14:paraId="2839CCE6" w14:textId="77777777" w:rsidR="00D87842" w:rsidRPr="006B24AD" w:rsidRDefault="00D87842" w:rsidP="009218A8">
      <w:pPr>
        <w:spacing w:after="0" w:line="240" w:lineRule="auto"/>
        <w:rPr>
          <w:rFonts w:ascii="Arial" w:hAnsi="Arial" w:cs="Arial"/>
          <w:sz w:val="24"/>
          <w:szCs w:val="24"/>
        </w:rPr>
      </w:pPr>
    </w:p>
    <w:p w14:paraId="6486517E" w14:textId="77777777" w:rsidR="00092CC0" w:rsidRPr="00092CC0" w:rsidRDefault="00092CC0" w:rsidP="00092CC0">
      <w:pPr>
        <w:spacing w:after="0" w:line="240" w:lineRule="auto"/>
        <w:ind w:left="720"/>
        <w:rPr>
          <w:rFonts w:ascii="Arial" w:hAnsi="Arial" w:cs="Arial"/>
          <w:sz w:val="24"/>
          <w:szCs w:val="24"/>
        </w:rPr>
      </w:pPr>
      <w:r w:rsidRPr="00092CC0">
        <w:rPr>
          <w:rFonts w:ascii="Arial" w:hAnsi="Arial" w:cs="Arial"/>
          <w:sz w:val="24"/>
          <w:szCs w:val="24"/>
        </w:rPr>
        <w:t xml:space="preserve">This worksheet further identifies the breakout of costs between the modality’s different services/programs and between private pay, DMC, and non-DMC.  The bottom portion of the worksheet identifies the maximum reimbursement for DMC services. </w:t>
      </w:r>
      <w:r w:rsidRPr="00092CC0">
        <w:t xml:space="preserve"> </w:t>
      </w:r>
      <w:r w:rsidRPr="00092CC0">
        <w:rPr>
          <w:rFonts w:ascii="Arial" w:hAnsi="Arial" w:cs="Arial"/>
          <w:sz w:val="24"/>
          <w:szCs w:val="24"/>
        </w:rPr>
        <w:t>As described previously, the standard methodology for allocating indirect costs is the percentage of direct costs.  The calculation for this methodology is built into the forms.</w:t>
      </w:r>
    </w:p>
    <w:p w14:paraId="0FF14CE2" w14:textId="77777777" w:rsidR="00092CC0" w:rsidRPr="00092CC0" w:rsidRDefault="00092CC0" w:rsidP="00092CC0">
      <w:pPr>
        <w:spacing w:after="0" w:line="240" w:lineRule="auto"/>
        <w:rPr>
          <w:rFonts w:ascii="Arial" w:hAnsi="Arial" w:cs="Arial"/>
          <w:sz w:val="24"/>
          <w:szCs w:val="24"/>
        </w:rPr>
      </w:pPr>
    </w:p>
    <w:p w14:paraId="7163E410" w14:textId="48F6135B" w:rsidR="00092CC0" w:rsidRPr="00BD1651" w:rsidRDefault="00092CC0" w:rsidP="00BD1651">
      <w:pPr>
        <w:numPr>
          <w:ilvl w:val="0"/>
          <w:numId w:val="63"/>
        </w:numPr>
        <w:spacing w:after="0" w:line="240" w:lineRule="auto"/>
        <w:ind w:left="1080"/>
        <w:contextualSpacing/>
        <w:rPr>
          <w:rFonts w:ascii="Arial" w:hAnsi="Arial" w:cs="Arial"/>
          <w:sz w:val="24"/>
          <w:szCs w:val="24"/>
        </w:rPr>
      </w:pPr>
      <w:r w:rsidRPr="00092CC0">
        <w:rPr>
          <w:rFonts w:ascii="Arial" w:hAnsi="Arial" w:cs="Arial"/>
          <w:sz w:val="24"/>
          <w:szCs w:val="24"/>
        </w:rPr>
        <w:t xml:space="preserve">‘Allocate Costs Between Different Modalities’ section:  </w:t>
      </w:r>
      <w:r w:rsidRPr="00BD1651">
        <w:rPr>
          <w:rFonts w:ascii="Arial" w:hAnsi="Arial" w:cs="Arial"/>
          <w:sz w:val="24"/>
          <w:szCs w:val="24"/>
        </w:rPr>
        <w:t xml:space="preserve">Enter direct staff hours in each of the yellow highlighted areas (as applicable). </w:t>
      </w:r>
    </w:p>
    <w:p w14:paraId="1C09F783" w14:textId="0872F51C" w:rsidR="00092CC0" w:rsidRPr="00092CC0" w:rsidRDefault="00092CC0" w:rsidP="00092CC0">
      <w:pPr>
        <w:numPr>
          <w:ilvl w:val="0"/>
          <w:numId w:val="63"/>
        </w:numPr>
        <w:spacing w:after="0" w:line="240" w:lineRule="auto"/>
        <w:ind w:left="1080"/>
        <w:contextualSpacing/>
        <w:rPr>
          <w:rFonts w:ascii="Arial" w:hAnsi="Arial" w:cs="Arial"/>
          <w:sz w:val="24"/>
          <w:szCs w:val="24"/>
        </w:rPr>
      </w:pPr>
      <w:r w:rsidRPr="00092CC0">
        <w:rPr>
          <w:rFonts w:ascii="Arial" w:hAnsi="Arial" w:cs="Arial"/>
          <w:sz w:val="24"/>
          <w:szCs w:val="24"/>
        </w:rPr>
        <w:t xml:space="preserve">‘Units of Service’ section: </w:t>
      </w:r>
      <w:r w:rsidR="00BD1651">
        <w:rPr>
          <w:rFonts w:ascii="Arial" w:hAnsi="Arial" w:cs="Arial"/>
          <w:sz w:val="24"/>
          <w:szCs w:val="24"/>
        </w:rPr>
        <w:t xml:space="preserve"> </w:t>
      </w:r>
      <w:r w:rsidR="005050F6">
        <w:rPr>
          <w:rFonts w:ascii="Arial" w:hAnsi="Arial" w:cs="Arial"/>
          <w:sz w:val="24"/>
          <w:szCs w:val="24"/>
        </w:rPr>
        <w:t>E</w:t>
      </w:r>
      <w:r w:rsidRPr="00092CC0">
        <w:rPr>
          <w:rFonts w:ascii="Arial" w:hAnsi="Arial" w:cs="Arial"/>
          <w:sz w:val="24"/>
          <w:szCs w:val="24"/>
        </w:rPr>
        <w:t xml:space="preserve">nter the number of units for private and non-DMC by the applicable service/program types. </w:t>
      </w:r>
    </w:p>
    <w:p w14:paraId="004D9C68" w14:textId="5B3196F3" w:rsidR="00092CC0" w:rsidRPr="00092CC0" w:rsidRDefault="00092CC0" w:rsidP="00606A16">
      <w:pPr>
        <w:numPr>
          <w:ilvl w:val="0"/>
          <w:numId w:val="63"/>
        </w:numPr>
        <w:spacing w:after="0" w:line="240" w:lineRule="auto"/>
        <w:ind w:left="1080"/>
        <w:contextualSpacing/>
        <w:rPr>
          <w:rFonts w:ascii="Arial" w:hAnsi="Arial" w:cs="Arial"/>
          <w:sz w:val="24"/>
          <w:szCs w:val="24"/>
        </w:rPr>
      </w:pPr>
      <w:r w:rsidRPr="00092CC0">
        <w:rPr>
          <w:rFonts w:ascii="Arial" w:hAnsi="Arial" w:cs="Arial"/>
          <w:sz w:val="24"/>
          <w:szCs w:val="24"/>
        </w:rPr>
        <w:t>‘Cost Per Unit of Service’ section:</w:t>
      </w:r>
      <w:r w:rsidR="00BD1651">
        <w:rPr>
          <w:rFonts w:ascii="Arial" w:hAnsi="Arial" w:cs="Arial"/>
          <w:sz w:val="24"/>
          <w:szCs w:val="24"/>
        </w:rPr>
        <w:t xml:space="preserve"> </w:t>
      </w:r>
      <w:r>
        <w:rPr>
          <w:rFonts w:ascii="Arial" w:hAnsi="Arial" w:cs="Arial"/>
          <w:sz w:val="24"/>
          <w:szCs w:val="24"/>
        </w:rPr>
        <w:t xml:space="preserve"> </w:t>
      </w:r>
      <w:r w:rsidRPr="00092CC0">
        <w:rPr>
          <w:rFonts w:ascii="Arial" w:hAnsi="Arial" w:cs="Arial"/>
          <w:sz w:val="24"/>
          <w:szCs w:val="24"/>
        </w:rPr>
        <w:t xml:space="preserve">Enter the provider’s customary charges for each service.  </w:t>
      </w:r>
    </w:p>
    <w:p w14:paraId="27DC3F41" w14:textId="77777777" w:rsidR="005050F6" w:rsidRDefault="005050F6" w:rsidP="00606A16">
      <w:pPr>
        <w:spacing w:after="0" w:line="240" w:lineRule="auto"/>
        <w:ind w:left="720"/>
        <w:contextualSpacing/>
        <w:rPr>
          <w:rFonts w:ascii="Arial" w:hAnsi="Arial" w:cs="Arial"/>
          <w:sz w:val="24"/>
          <w:szCs w:val="24"/>
        </w:rPr>
      </w:pPr>
    </w:p>
    <w:p w14:paraId="3C75F1F6" w14:textId="5896AF9F" w:rsidR="00092CC0" w:rsidRPr="00092CC0" w:rsidRDefault="00092CC0" w:rsidP="00606A16">
      <w:pPr>
        <w:spacing w:after="0" w:line="240" w:lineRule="auto"/>
        <w:ind w:left="720"/>
        <w:contextualSpacing/>
        <w:rPr>
          <w:rFonts w:ascii="Arial" w:hAnsi="Arial" w:cs="Arial"/>
          <w:sz w:val="24"/>
          <w:szCs w:val="24"/>
        </w:rPr>
      </w:pPr>
      <w:r w:rsidRPr="00092CC0">
        <w:rPr>
          <w:rFonts w:ascii="Arial" w:hAnsi="Arial" w:cs="Arial"/>
          <w:sz w:val="24"/>
          <w:szCs w:val="24"/>
        </w:rPr>
        <w:t>All other areas are automatically populated based on data entry on other worksheets.</w:t>
      </w:r>
    </w:p>
    <w:p w14:paraId="33FFE4DB" w14:textId="5BD683DE" w:rsidR="00C40470" w:rsidRDefault="00BA05CC" w:rsidP="006F4904">
      <w:pPr>
        <w:spacing w:after="0" w:line="240" w:lineRule="auto"/>
        <w:ind w:firstLine="720"/>
        <w:rPr>
          <w:rFonts w:ascii="Arial" w:hAnsi="Arial" w:cs="Arial"/>
          <w:b/>
          <w:sz w:val="24"/>
          <w:szCs w:val="24"/>
          <w:u w:val="single"/>
        </w:rPr>
      </w:pPr>
      <w:r w:rsidRPr="006B24AD">
        <w:rPr>
          <w:rFonts w:ascii="Arial" w:hAnsi="Arial" w:cs="Arial"/>
          <w:sz w:val="24"/>
          <w:szCs w:val="24"/>
        </w:rPr>
        <w:t xml:space="preserve">  </w:t>
      </w:r>
    </w:p>
    <w:p w14:paraId="26A17953" w14:textId="7240B884" w:rsidR="00BA05CC" w:rsidRPr="006B24AD" w:rsidRDefault="006835ED" w:rsidP="006F4904">
      <w:pPr>
        <w:spacing w:after="0" w:line="240" w:lineRule="auto"/>
        <w:ind w:firstLine="720"/>
        <w:rPr>
          <w:rFonts w:ascii="Arial" w:hAnsi="Arial" w:cs="Arial"/>
          <w:b/>
          <w:sz w:val="24"/>
          <w:szCs w:val="24"/>
          <w:u w:val="single"/>
        </w:rPr>
      </w:pPr>
      <w:r>
        <w:rPr>
          <w:rFonts w:ascii="Arial" w:hAnsi="Arial" w:cs="Arial"/>
          <w:b/>
          <w:sz w:val="24"/>
          <w:szCs w:val="24"/>
          <w:u w:val="single"/>
        </w:rPr>
        <w:t>Reimbursed Units</w:t>
      </w:r>
      <w:r w:rsidR="00864D25">
        <w:rPr>
          <w:rFonts w:ascii="Arial" w:hAnsi="Arial" w:cs="Arial"/>
          <w:b/>
          <w:sz w:val="24"/>
          <w:szCs w:val="24"/>
          <w:u w:val="single"/>
        </w:rPr>
        <w:t xml:space="preserve"> Worksheet</w:t>
      </w:r>
      <w:r w:rsidR="00C96C76">
        <w:rPr>
          <w:rFonts w:ascii="Arial" w:hAnsi="Arial" w:cs="Arial"/>
          <w:b/>
          <w:sz w:val="24"/>
          <w:szCs w:val="24"/>
          <w:u w:val="single"/>
        </w:rPr>
        <w:t>s (</w:t>
      </w:r>
      <w:r w:rsidR="00624F5C">
        <w:rPr>
          <w:rFonts w:ascii="Arial" w:hAnsi="Arial" w:cs="Arial"/>
          <w:b/>
          <w:sz w:val="24"/>
          <w:szCs w:val="24"/>
          <w:u w:val="single"/>
        </w:rPr>
        <w:t>OT</w:t>
      </w:r>
      <w:r w:rsidR="00C96C76">
        <w:rPr>
          <w:rFonts w:ascii="Arial" w:hAnsi="Arial" w:cs="Arial"/>
          <w:b/>
          <w:sz w:val="24"/>
          <w:szCs w:val="24"/>
          <w:u w:val="single"/>
        </w:rPr>
        <w:t>, PH, IOT, RES</w:t>
      </w:r>
      <w:r w:rsidR="00092CC0">
        <w:rPr>
          <w:rFonts w:ascii="Arial" w:hAnsi="Arial" w:cs="Arial"/>
          <w:b/>
          <w:sz w:val="24"/>
          <w:szCs w:val="24"/>
          <w:u w:val="single"/>
        </w:rPr>
        <w:t>, NTP</w:t>
      </w:r>
      <w:r w:rsidR="00C96C76">
        <w:rPr>
          <w:rFonts w:ascii="Arial" w:hAnsi="Arial" w:cs="Arial"/>
          <w:b/>
          <w:sz w:val="24"/>
          <w:szCs w:val="24"/>
          <w:u w:val="single"/>
        </w:rPr>
        <w:t>)</w:t>
      </w:r>
    </w:p>
    <w:p w14:paraId="1BB82FA2" w14:textId="77777777" w:rsidR="00BA05CC" w:rsidRPr="006B24AD" w:rsidRDefault="00BA05CC" w:rsidP="009218A8">
      <w:pPr>
        <w:spacing w:after="0" w:line="240" w:lineRule="auto"/>
        <w:rPr>
          <w:rFonts w:ascii="Arial" w:hAnsi="Arial" w:cs="Arial"/>
          <w:sz w:val="24"/>
          <w:szCs w:val="24"/>
        </w:rPr>
      </w:pPr>
    </w:p>
    <w:p w14:paraId="747794AB" w14:textId="4A749C73" w:rsidR="00874040" w:rsidRDefault="00874040" w:rsidP="00874040">
      <w:pPr>
        <w:pStyle w:val="ListParagraph"/>
        <w:spacing w:line="240" w:lineRule="auto"/>
        <w:rPr>
          <w:rFonts w:ascii="Arial" w:hAnsi="Arial" w:cs="Arial"/>
          <w:sz w:val="24"/>
          <w:szCs w:val="24"/>
        </w:rPr>
      </w:pPr>
      <w:r>
        <w:rPr>
          <w:rFonts w:ascii="Arial" w:hAnsi="Arial" w:cs="Arial"/>
          <w:sz w:val="24"/>
          <w:szCs w:val="24"/>
        </w:rPr>
        <w:t xml:space="preserve">This worksheet identifies the specific reimbursement amounts by funding source and aid code type.  </w:t>
      </w:r>
    </w:p>
    <w:p w14:paraId="76A2CBE1" w14:textId="77777777" w:rsidR="005050F6" w:rsidRPr="00F50D37" w:rsidRDefault="005050F6" w:rsidP="00874040">
      <w:pPr>
        <w:pStyle w:val="ListParagraph"/>
        <w:spacing w:line="240" w:lineRule="auto"/>
        <w:rPr>
          <w:rFonts w:ascii="Arial" w:hAnsi="Arial" w:cs="Arial"/>
          <w:sz w:val="24"/>
          <w:szCs w:val="24"/>
        </w:rPr>
      </w:pPr>
    </w:p>
    <w:p w14:paraId="2A8F54D1" w14:textId="77777777" w:rsidR="00874040" w:rsidRPr="002E4AB8" w:rsidRDefault="00874040" w:rsidP="00874040">
      <w:pPr>
        <w:pStyle w:val="ListParagraph"/>
        <w:numPr>
          <w:ilvl w:val="0"/>
          <w:numId w:val="65"/>
        </w:numPr>
        <w:spacing w:line="240" w:lineRule="auto"/>
        <w:rPr>
          <w:rFonts w:ascii="Arial" w:hAnsi="Arial" w:cs="Arial"/>
          <w:sz w:val="24"/>
          <w:szCs w:val="24"/>
        </w:rPr>
      </w:pPr>
      <w:r w:rsidRPr="002E4AB8">
        <w:rPr>
          <w:rFonts w:ascii="Arial" w:hAnsi="Arial" w:cs="Arial"/>
          <w:sz w:val="24"/>
          <w:szCs w:val="24"/>
        </w:rPr>
        <w:t xml:space="preserve">Enter all approved and denied units using the information from the provider reconciliation report.  </w:t>
      </w:r>
    </w:p>
    <w:p w14:paraId="57B59098" w14:textId="77777777" w:rsidR="00874040" w:rsidRPr="002E4AB8" w:rsidRDefault="00874040" w:rsidP="00874040">
      <w:pPr>
        <w:pStyle w:val="ListParagraph"/>
        <w:numPr>
          <w:ilvl w:val="0"/>
          <w:numId w:val="66"/>
        </w:numPr>
        <w:spacing w:line="240" w:lineRule="auto"/>
        <w:rPr>
          <w:rFonts w:ascii="Arial" w:hAnsi="Arial" w:cs="Arial"/>
          <w:sz w:val="24"/>
          <w:szCs w:val="24"/>
        </w:rPr>
      </w:pPr>
      <w:r>
        <w:rPr>
          <w:rFonts w:ascii="Arial" w:hAnsi="Arial" w:cs="Arial"/>
          <w:sz w:val="24"/>
          <w:szCs w:val="24"/>
        </w:rPr>
        <w:t xml:space="preserve">Approved Units: </w:t>
      </w:r>
      <w:r w:rsidRPr="002E4AB8">
        <w:rPr>
          <w:rFonts w:ascii="Arial" w:hAnsi="Arial" w:cs="Arial"/>
          <w:sz w:val="24"/>
          <w:szCs w:val="24"/>
        </w:rPr>
        <w:t xml:space="preserve">Enter the approved unit information for each type of service for each aid code </w:t>
      </w:r>
      <w:r>
        <w:rPr>
          <w:rFonts w:ascii="Arial" w:hAnsi="Arial" w:cs="Arial"/>
          <w:sz w:val="24"/>
          <w:szCs w:val="24"/>
        </w:rPr>
        <w:t xml:space="preserve">type </w:t>
      </w:r>
      <w:r w:rsidRPr="002E4AB8">
        <w:rPr>
          <w:rFonts w:ascii="Arial" w:hAnsi="Arial" w:cs="Arial"/>
          <w:sz w:val="24"/>
          <w:szCs w:val="24"/>
        </w:rPr>
        <w:t>from the reconciliation report provided by DHCS (unless the county or provider has more recent updated data).</w:t>
      </w:r>
    </w:p>
    <w:p w14:paraId="6B78F9AC" w14:textId="6F03084F" w:rsidR="00874040" w:rsidRDefault="00874040" w:rsidP="00874040">
      <w:pPr>
        <w:pStyle w:val="ListParagraph"/>
        <w:numPr>
          <w:ilvl w:val="0"/>
          <w:numId w:val="66"/>
        </w:numPr>
        <w:spacing w:line="240" w:lineRule="auto"/>
        <w:rPr>
          <w:rFonts w:ascii="Arial" w:hAnsi="Arial" w:cs="Arial"/>
          <w:sz w:val="24"/>
          <w:szCs w:val="24"/>
        </w:rPr>
      </w:pPr>
      <w:r>
        <w:rPr>
          <w:rFonts w:ascii="Arial" w:hAnsi="Arial" w:cs="Arial"/>
          <w:sz w:val="24"/>
          <w:szCs w:val="24"/>
        </w:rPr>
        <w:t xml:space="preserve">Denied Units: </w:t>
      </w:r>
      <w:r w:rsidRPr="002E4AB8">
        <w:rPr>
          <w:rFonts w:ascii="Arial" w:hAnsi="Arial" w:cs="Arial"/>
          <w:sz w:val="24"/>
          <w:szCs w:val="24"/>
        </w:rPr>
        <w:t>Enter the denied unit information for each type of service from the reconciliation report provided by DHCS.  Denied units are not broken out by aid code type.</w:t>
      </w:r>
    </w:p>
    <w:p w14:paraId="6262A187" w14:textId="77777777" w:rsidR="009B22F6" w:rsidRPr="002E4AB8" w:rsidRDefault="009B22F6" w:rsidP="009B22F6">
      <w:pPr>
        <w:pStyle w:val="ListParagraph"/>
        <w:spacing w:line="240" w:lineRule="auto"/>
        <w:ind w:left="1440"/>
        <w:rPr>
          <w:rFonts w:ascii="Arial" w:hAnsi="Arial" w:cs="Arial"/>
          <w:sz w:val="24"/>
          <w:szCs w:val="24"/>
        </w:rPr>
      </w:pPr>
    </w:p>
    <w:p w14:paraId="2665C816" w14:textId="77777777" w:rsidR="00F92779" w:rsidRDefault="00874040" w:rsidP="00874040">
      <w:pPr>
        <w:pStyle w:val="ListParagraph"/>
        <w:numPr>
          <w:ilvl w:val="0"/>
          <w:numId w:val="65"/>
        </w:numPr>
        <w:spacing w:line="240" w:lineRule="auto"/>
        <w:rPr>
          <w:rFonts w:ascii="Arial" w:hAnsi="Arial" w:cs="Arial"/>
          <w:sz w:val="24"/>
          <w:szCs w:val="24"/>
        </w:rPr>
      </w:pPr>
      <w:r>
        <w:rPr>
          <w:rFonts w:ascii="Arial" w:hAnsi="Arial" w:cs="Arial"/>
          <w:sz w:val="24"/>
          <w:szCs w:val="24"/>
        </w:rPr>
        <w:t xml:space="preserve">Share of Cost and Insurance: </w:t>
      </w:r>
      <w:r w:rsidRPr="002E4AB8">
        <w:rPr>
          <w:rFonts w:ascii="Arial" w:hAnsi="Arial" w:cs="Arial"/>
          <w:sz w:val="24"/>
          <w:szCs w:val="24"/>
        </w:rPr>
        <w:t>The</w:t>
      </w:r>
      <w:r>
        <w:rPr>
          <w:rFonts w:ascii="Arial" w:hAnsi="Arial" w:cs="Arial"/>
          <w:sz w:val="24"/>
          <w:szCs w:val="24"/>
        </w:rPr>
        <w:t xml:space="preserve"> remainder of this worksheet requires data entry only if units were funded by beneficiaries’ share of cost or insurance.   </w:t>
      </w:r>
    </w:p>
    <w:p w14:paraId="506A3897" w14:textId="77777777" w:rsidR="00F92779" w:rsidRDefault="00F92779" w:rsidP="00F92779">
      <w:pPr>
        <w:spacing w:line="240" w:lineRule="auto"/>
        <w:ind w:left="720"/>
        <w:rPr>
          <w:rFonts w:ascii="Arial" w:hAnsi="Arial" w:cs="Arial"/>
          <w:sz w:val="24"/>
          <w:szCs w:val="24"/>
        </w:rPr>
      </w:pPr>
    </w:p>
    <w:p w14:paraId="01227BE2" w14:textId="77777777" w:rsidR="00A8289D" w:rsidRDefault="00F92779" w:rsidP="00A8289D">
      <w:pPr>
        <w:spacing w:after="0" w:line="240" w:lineRule="auto"/>
        <w:ind w:firstLine="720"/>
        <w:rPr>
          <w:rFonts w:ascii="Arial" w:hAnsi="Arial" w:cs="Arial"/>
          <w:b/>
          <w:sz w:val="24"/>
          <w:szCs w:val="24"/>
          <w:u w:val="single"/>
        </w:rPr>
      </w:pPr>
      <w:r>
        <w:rPr>
          <w:rFonts w:ascii="Arial" w:hAnsi="Arial" w:cs="Arial"/>
          <w:b/>
          <w:sz w:val="24"/>
          <w:szCs w:val="24"/>
          <w:u w:val="single"/>
        </w:rPr>
        <w:t>Comparison Worksheets (OT, PH, IOT, RES, NTP)</w:t>
      </w:r>
    </w:p>
    <w:p w14:paraId="1B0F2F40" w14:textId="351EFED2" w:rsidR="00874040" w:rsidRPr="00A8289D" w:rsidRDefault="00874040" w:rsidP="00A8289D">
      <w:pPr>
        <w:spacing w:after="0" w:line="240" w:lineRule="auto"/>
        <w:ind w:firstLine="720"/>
        <w:rPr>
          <w:rFonts w:ascii="Arial" w:hAnsi="Arial" w:cs="Arial"/>
          <w:b/>
          <w:sz w:val="24"/>
          <w:szCs w:val="24"/>
          <w:u w:val="single"/>
        </w:rPr>
      </w:pPr>
      <w:r w:rsidRPr="00F92779">
        <w:rPr>
          <w:rFonts w:ascii="Arial" w:hAnsi="Arial" w:cs="Arial"/>
          <w:sz w:val="24"/>
          <w:szCs w:val="24"/>
        </w:rPr>
        <w:t xml:space="preserve"> </w:t>
      </w:r>
    </w:p>
    <w:p w14:paraId="50942EA3" w14:textId="2534745D" w:rsidR="00A8289D" w:rsidRPr="00A563A9" w:rsidRDefault="00A8289D" w:rsidP="00A8289D">
      <w:pPr>
        <w:pStyle w:val="NoSpacing"/>
        <w:ind w:left="720"/>
        <w:rPr>
          <w:rFonts w:ascii="Arial" w:hAnsi="Arial" w:cs="Arial"/>
          <w:sz w:val="24"/>
          <w:szCs w:val="24"/>
        </w:rPr>
      </w:pPr>
      <w:r w:rsidRPr="00A563A9">
        <w:rPr>
          <w:rFonts w:ascii="Arial" w:hAnsi="Arial" w:cs="Arial"/>
          <w:sz w:val="24"/>
          <w:szCs w:val="24"/>
        </w:rPr>
        <w:t>This document identifies the comparison between the DMC worksheet (</w:t>
      </w:r>
      <w:r>
        <w:rPr>
          <w:rFonts w:ascii="Arial" w:hAnsi="Arial" w:cs="Arial"/>
          <w:sz w:val="24"/>
          <w:szCs w:val="24"/>
        </w:rPr>
        <w:t>Cost Allocation</w:t>
      </w:r>
      <w:r w:rsidRPr="00A563A9">
        <w:rPr>
          <w:rFonts w:ascii="Arial" w:hAnsi="Arial" w:cs="Arial"/>
          <w:sz w:val="24"/>
          <w:szCs w:val="24"/>
        </w:rPr>
        <w:t xml:space="preserve">) and the Fiscal Detail Pages in the web based cost report.  The county must identify and enter the appropriate information to identify the Service and Program from the DMC Settlement forms with the information entered into the web based cost report.  In some instances, more than one Non-DMC or DMC Program Code </w:t>
      </w:r>
      <w:r w:rsidR="005442B5">
        <w:rPr>
          <w:rFonts w:ascii="Arial" w:hAnsi="Arial" w:cs="Arial"/>
          <w:sz w:val="24"/>
          <w:szCs w:val="24"/>
        </w:rPr>
        <w:t xml:space="preserve">could be entered (for example, </w:t>
      </w:r>
      <w:r w:rsidRPr="00A563A9">
        <w:rPr>
          <w:rFonts w:ascii="Arial" w:hAnsi="Arial" w:cs="Arial"/>
          <w:sz w:val="24"/>
          <w:szCs w:val="24"/>
        </w:rPr>
        <w:t>2</w:t>
      </w:r>
      <w:r w:rsidR="005442B5">
        <w:rPr>
          <w:rFonts w:ascii="Arial" w:hAnsi="Arial" w:cs="Arial"/>
          <w:sz w:val="24"/>
          <w:szCs w:val="24"/>
        </w:rPr>
        <w:t>72</w:t>
      </w:r>
      <w:r w:rsidRPr="00A563A9">
        <w:rPr>
          <w:rFonts w:ascii="Arial" w:hAnsi="Arial" w:cs="Arial"/>
          <w:sz w:val="24"/>
          <w:szCs w:val="24"/>
        </w:rPr>
        <w:t xml:space="preserve"> for Minor Consent and </w:t>
      </w:r>
      <w:r w:rsidR="005442B5">
        <w:rPr>
          <w:rFonts w:ascii="Arial" w:hAnsi="Arial" w:cs="Arial"/>
          <w:sz w:val="24"/>
          <w:szCs w:val="24"/>
        </w:rPr>
        <w:t>102</w:t>
      </w:r>
      <w:r w:rsidRPr="00A563A9">
        <w:rPr>
          <w:rFonts w:ascii="Arial" w:hAnsi="Arial" w:cs="Arial"/>
          <w:sz w:val="24"/>
          <w:szCs w:val="24"/>
        </w:rPr>
        <w:t xml:space="preserve"> for DMC Regular).  </w:t>
      </w:r>
    </w:p>
    <w:p w14:paraId="5FCE12EE" w14:textId="77777777" w:rsidR="00A8289D" w:rsidRPr="00A563A9" w:rsidRDefault="00A8289D" w:rsidP="00A8289D">
      <w:pPr>
        <w:pStyle w:val="NoSpacing"/>
        <w:ind w:left="720"/>
        <w:rPr>
          <w:rFonts w:ascii="Arial" w:hAnsi="Arial" w:cs="Arial"/>
          <w:sz w:val="24"/>
          <w:szCs w:val="24"/>
        </w:rPr>
      </w:pPr>
    </w:p>
    <w:p w14:paraId="7FB92DFE" w14:textId="77777777" w:rsidR="00A8289D" w:rsidRPr="00A563A9" w:rsidRDefault="00A8289D" w:rsidP="00A8289D">
      <w:pPr>
        <w:pStyle w:val="NoSpacing"/>
        <w:ind w:left="720"/>
        <w:rPr>
          <w:rFonts w:ascii="Arial" w:hAnsi="Arial" w:cs="Arial"/>
          <w:sz w:val="24"/>
          <w:szCs w:val="24"/>
        </w:rPr>
      </w:pPr>
      <w:r w:rsidRPr="00A563A9">
        <w:rPr>
          <w:rFonts w:ascii="Arial" w:hAnsi="Arial" w:cs="Arial"/>
          <w:sz w:val="24"/>
          <w:szCs w:val="24"/>
        </w:rPr>
        <w:t xml:space="preserve">In the “Non-DMC Program Codes” field, list the Non-DMC program codes for the cost and unit information shown on these DMC forms that are also entered in the web based cost report; leave blank if no Non-DMC information is reported on the DMC forms.    </w:t>
      </w:r>
    </w:p>
    <w:p w14:paraId="7E265AF0" w14:textId="77777777" w:rsidR="00A8289D" w:rsidRPr="00A563A9" w:rsidRDefault="00A8289D" w:rsidP="00A8289D">
      <w:pPr>
        <w:pStyle w:val="NoSpacing"/>
        <w:ind w:left="720"/>
        <w:rPr>
          <w:rFonts w:ascii="Arial" w:hAnsi="Arial" w:cs="Arial"/>
          <w:sz w:val="24"/>
          <w:szCs w:val="24"/>
        </w:rPr>
      </w:pPr>
    </w:p>
    <w:p w14:paraId="207B9829" w14:textId="77777777" w:rsidR="00A8289D" w:rsidRPr="00A563A9" w:rsidRDefault="00A8289D" w:rsidP="00A8289D">
      <w:pPr>
        <w:pStyle w:val="NoSpacing"/>
        <w:ind w:left="720"/>
        <w:rPr>
          <w:rFonts w:ascii="Arial" w:hAnsi="Arial" w:cs="Arial"/>
          <w:sz w:val="24"/>
          <w:szCs w:val="24"/>
        </w:rPr>
      </w:pPr>
      <w:r w:rsidRPr="00A563A9">
        <w:rPr>
          <w:rFonts w:ascii="Arial" w:hAnsi="Arial" w:cs="Arial"/>
          <w:sz w:val="24"/>
          <w:szCs w:val="24"/>
        </w:rPr>
        <w:t>In the “DMC Program Codes” field, list the DMC program codes for the cost and unit information shown on these DMC forms that is also entered in the web based cost report.</w:t>
      </w:r>
    </w:p>
    <w:p w14:paraId="408910D2" w14:textId="77777777" w:rsidR="00A8289D" w:rsidRPr="00A563A9" w:rsidRDefault="00A8289D" w:rsidP="00A8289D">
      <w:pPr>
        <w:pStyle w:val="NoSpacing"/>
        <w:ind w:left="720"/>
        <w:rPr>
          <w:rFonts w:ascii="Arial" w:hAnsi="Arial" w:cs="Arial"/>
          <w:sz w:val="24"/>
          <w:szCs w:val="24"/>
        </w:rPr>
      </w:pPr>
    </w:p>
    <w:p w14:paraId="65571D68" w14:textId="77777777" w:rsidR="00A8289D" w:rsidRPr="00A563A9" w:rsidRDefault="00A8289D" w:rsidP="00A8289D">
      <w:pPr>
        <w:pStyle w:val="NoSpacing"/>
        <w:ind w:left="720"/>
        <w:rPr>
          <w:rFonts w:ascii="Arial" w:hAnsi="Arial" w:cs="Arial"/>
          <w:sz w:val="24"/>
          <w:szCs w:val="24"/>
        </w:rPr>
      </w:pPr>
      <w:r w:rsidRPr="00A563A9">
        <w:rPr>
          <w:rFonts w:ascii="Arial" w:hAnsi="Arial" w:cs="Arial"/>
          <w:sz w:val="24"/>
          <w:szCs w:val="24"/>
        </w:rPr>
        <w:t>In the “</w:t>
      </w:r>
      <w:r>
        <w:rPr>
          <w:rFonts w:ascii="Arial" w:hAnsi="Arial" w:cs="Arial"/>
          <w:sz w:val="24"/>
          <w:szCs w:val="24"/>
        </w:rPr>
        <w:t>SUDCRS</w:t>
      </w:r>
      <w:r w:rsidRPr="00A563A9">
        <w:rPr>
          <w:rFonts w:ascii="Arial" w:hAnsi="Arial" w:cs="Arial"/>
          <w:sz w:val="24"/>
          <w:szCs w:val="24"/>
        </w:rPr>
        <w:t xml:space="preserve"> Fiscal Detail” column, record the totals for each type of information from Fiscal Detail Pages from the web based cost report for the listed Non-DMC or DMC programs, as appropriate.  One cannot be completed without the other.  The DMC cost report forms are incomplete without this information properly filled in by the user.</w:t>
      </w:r>
    </w:p>
    <w:p w14:paraId="10B76539" w14:textId="77777777" w:rsidR="00874040" w:rsidRDefault="00874040" w:rsidP="009218A8">
      <w:pPr>
        <w:spacing w:after="0" w:line="240" w:lineRule="auto"/>
        <w:ind w:left="720"/>
        <w:rPr>
          <w:rFonts w:ascii="Arial" w:hAnsi="Arial" w:cs="Arial"/>
          <w:sz w:val="24"/>
          <w:szCs w:val="24"/>
        </w:rPr>
      </w:pPr>
    </w:p>
    <w:p w14:paraId="03EF6795" w14:textId="77777777" w:rsidR="001D2491" w:rsidRDefault="001D2491">
      <w:pPr>
        <w:spacing w:after="0" w:line="240" w:lineRule="auto"/>
        <w:ind w:left="720"/>
        <w:rPr>
          <w:rFonts w:ascii="Arial" w:hAnsi="Arial" w:cs="Arial"/>
          <w:b/>
          <w:sz w:val="24"/>
          <w:u w:val="single"/>
        </w:rPr>
      </w:pPr>
    </w:p>
    <w:sectPr w:rsidR="001D249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9F9AE" w14:textId="77777777" w:rsidR="00873E68" w:rsidRDefault="00873E68" w:rsidP="00771D9C">
      <w:pPr>
        <w:spacing w:after="0" w:line="240" w:lineRule="auto"/>
      </w:pPr>
      <w:r>
        <w:separator/>
      </w:r>
    </w:p>
  </w:endnote>
  <w:endnote w:type="continuationSeparator" w:id="0">
    <w:p w14:paraId="44AFD36B" w14:textId="77777777" w:rsidR="00873E68" w:rsidRDefault="00873E68" w:rsidP="0077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B7F61" w14:textId="77777777" w:rsidR="007347FA" w:rsidRDefault="007347FA">
    <w:pPr>
      <w:pStyle w:val="Footer"/>
    </w:pPr>
  </w:p>
  <w:p w14:paraId="5392772A" w14:textId="77777777" w:rsidR="007347FA" w:rsidRPr="00F6168F" w:rsidRDefault="007347FA" w:rsidP="00424FF6">
    <w:pPr>
      <w:pStyle w:val="Footer"/>
      <w:jc w:val="right"/>
      <w:rPr>
        <w:rFonts w:ascii="Arial" w:hAnsi="Arial" w:cs="Arial"/>
        <w:sz w:val="20"/>
        <w:szCs w:val="20"/>
      </w:rPr>
    </w:pPr>
    <w:r w:rsidRPr="00F6168F">
      <w:rPr>
        <w:rFonts w:ascii="Arial" w:hAnsi="Arial" w:cs="Arial"/>
        <w:sz w:val="20"/>
        <w:szCs w:val="20"/>
      </w:rPr>
      <w:t>California Department of Health Care Services</w:t>
    </w:r>
  </w:p>
  <w:p w14:paraId="34F278AD" w14:textId="55EB5B5F" w:rsidR="007347FA" w:rsidRPr="00F6168F" w:rsidRDefault="007347FA" w:rsidP="00424FF6">
    <w:pPr>
      <w:pStyle w:val="Footer"/>
      <w:jc w:val="right"/>
      <w:rPr>
        <w:rFonts w:ascii="Arial" w:hAnsi="Arial" w:cs="Arial"/>
        <w:sz w:val="20"/>
        <w:szCs w:val="20"/>
      </w:rPr>
    </w:pPr>
    <w:r w:rsidRPr="00F6168F">
      <w:rPr>
        <w:rFonts w:ascii="Arial" w:hAnsi="Arial" w:cs="Arial"/>
        <w:sz w:val="20"/>
        <w:szCs w:val="20"/>
      </w:rPr>
      <w:t xml:space="preserve">Fiscal Year </w:t>
    </w:r>
    <w:r w:rsidR="00237067">
      <w:rPr>
        <w:rFonts w:ascii="Arial" w:hAnsi="Arial" w:cs="Arial"/>
        <w:sz w:val="20"/>
        <w:szCs w:val="20"/>
      </w:rPr>
      <w:t>20</w:t>
    </w:r>
    <w:r w:rsidR="002E11D8">
      <w:rPr>
        <w:rFonts w:ascii="Arial" w:hAnsi="Arial" w:cs="Arial"/>
        <w:sz w:val="20"/>
        <w:szCs w:val="20"/>
      </w:rPr>
      <w:t>17-18</w:t>
    </w:r>
    <w:r w:rsidRPr="00F6168F">
      <w:rPr>
        <w:rFonts w:ascii="Arial" w:hAnsi="Arial" w:cs="Arial"/>
        <w:sz w:val="20"/>
        <w:szCs w:val="20"/>
      </w:rPr>
      <w:t xml:space="preserve"> </w:t>
    </w:r>
    <w:r w:rsidR="002A32C4">
      <w:rPr>
        <w:rFonts w:ascii="Arial" w:hAnsi="Arial" w:cs="Arial"/>
        <w:sz w:val="20"/>
        <w:szCs w:val="20"/>
      </w:rPr>
      <w:t xml:space="preserve">DMC-ODS </w:t>
    </w:r>
    <w:r w:rsidRPr="00F6168F">
      <w:rPr>
        <w:rFonts w:ascii="Arial" w:hAnsi="Arial" w:cs="Arial"/>
        <w:sz w:val="20"/>
        <w:szCs w:val="20"/>
      </w:rPr>
      <w:t>Cost Report Instructions</w:t>
    </w:r>
    <w:r>
      <w:rPr>
        <w:rFonts w:ascii="Arial" w:hAnsi="Arial" w:cs="Arial"/>
        <w:sz w:val="20"/>
        <w:szCs w:val="20"/>
      </w:rPr>
      <w:t xml:space="preserve"> (</w:t>
    </w:r>
    <w:r w:rsidR="00BF47B4">
      <w:rPr>
        <w:rFonts w:ascii="Arial" w:hAnsi="Arial" w:cs="Arial"/>
        <w:sz w:val="20"/>
        <w:szCs w:val="20"/>
      </w:rPr>
      <w:t>November</w:t>
    </w:r>
    <w:r w:rsidR="00874040">
      <w:rPr>
        <w:rFonts w:ascii="Arial" w:hAnsi="Arial" w:cs="Arial"/>
        <w:sz w:val="20"/>
        <w:szCs w:val="20"/>
      </w:rPr>
      <w:t xml:space="preserve"> 20</w:t>
    </w:r>
    <w:r w:rsidR="00BF47B4">
      <w:rPr>
        <w:rFonts w:ascii="Arial" w:hAnsi="Arial" w:cs="Arial"/>
        <w:sz w:val="20"/>
        <w:szCs w:val="20"/>
      </w:rPr>
      <w:t>18</w:t>
    </w:r>
    <w:r>
      <w:rPr>
        <w:rFonts w:ascii="Arial" w:hAnsi="Arial" w:cs="Arial"/>
        <w:sz w:val="20"/>
        <w:szCs w:val="20"/>
      </w:rPr>
      <w:t>)</w:t>
    </w:r>
  </w:p>
  <w:p w14:paraId="550C4656" w14:textId="70F40818" w:rsidR="007347FA" w:rsidRPr="00F6168F" w:rsidRDefault="007347FA" w:rsidP="00424FF6">
    <w:pPr>
      <w:pStyle w:val="Footer"/>
      <w:jc w:val="right"/>
      <w:rPr>
        <w:rFonts w:ascii="Arial" w:hAnsi="Arial" w:cs="Arial"/>
        <w:sz w:val="20"/>
        <w:szCs w:val="20"/>
      </w:rPr>
    </w:pPr>
    <w:r w:rsidRPr="00F6168F">
      <w:rPr>
        <w:rFonts w:ascii="Arial" w:hAnsi="Arial" w:cs="Arial"/>
        <w:sz w:val="20"/>
        <w:szCs w:val="20"/>
      </w:rPr>
      <w:t xml:space="preserve">Page </w:t>
    </w:r>
    <w:r w:rsidRPr="00F6168F">
      <w:rPr>
        <w:rFonts w:ascii="Arial" w:hAnsi="Arial" w:cs="Arial"/>
        <w:sz w:val="20"/>
        <w:szCs w:val="20"/>
      </w:rPr>
      <w:fldChar w:fldCharType="begin"/>
    </w:r>
    <w:r w:rsidRPr="00F6168F">
      <w:rPr>
        <w:rFonts w:ascii="Arial" w:hAnsi="Arial" w:cs="Arial"/>
        <w:sz w:val="20"/>
        <w:szCs w:val="20"/>
      </w:rPr>
      <w:instrText xml:space="preserve"> PAGE   \* MERGEFORMAT </w:instrText>
    </w:r>
    <w:r w:rsidRPr="00F6168F">
      <w:rPr>
        <w:rFonts w:ascii="Arial" w:hAnsi="Arial" w:cs="Arial"/>
        <w:sz w:val="20"/>
        <w:szCs w:val="20"/>
      </w:rPr>
      <w:fldChar w:fldCharType="separate"/>
    </w:r>
    <w:r w:rsidR="007C4441">
      <w:rPr>
        <w:rFonts w:ascii="Arial" w:hAnsi="Arial" w:cs="Arial"/>
        <w:noProof/>
        <w:sz w:val="20"/>
        <w:szCs w:val="20"/>
      </w:rPr>
      <w:t>8</w:t>
    </w:r>
    <w:r w:rsidRPr="00F6168F">
      <w:rPr>
        <w:rFonts w:ascii="Arial" w:hAnsi="Arial" w:cs="Arial"/>
        <w:noProof/>
        <w:sz w:val="20"/>
        <w:szCs w:val="20"/>
      </w:rPr>
      <w:fldChar w:fldCharType="end"/>
    </w:r>
  </w:p>
  <w:p w14:paraId="52F321A4" w14:textId="77777777" w:rsidR="007347FA" w:rsidRDefault="007347FA">
    <w:pPr>
      <w:pStyle w:val="Footer"/>
    </w:pPr>
  </w:p>
  <w:p w14:paraId="545E6698" w14:textId="77777777" w:rsidR="007347FA" w:rsidRDefault="00734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AA266" w14:textId="77777777" w:rsidR="00873E68" w:rsidRDefault="00873E68" w:rsidP="00771D9C">
      <w:pPr>
        <w:spacing w:after="0" w:line="240" w:lineRule="auto"/>
      </w:pPr>
      <w:r>
        <w:separator/>
      </w:r>
    </w:p>
  </w:footnote>
  <w:footnote w:type="continuationSeparator" w:id="0">
    <w:p w14:paraId="61906C97" w14:textId="77777777" w:rsidR="00873E68" w:rsidRDefault="00873E68" w:rsidP="00771D9C">
      <w:pPr>
        <w:spacing w:after="0" w:line="240" w:lineRule="auto"/>
      </w:pPr>
      <w:r>
        <w:continuationSeparator/>
      </w:r>
    </w:p>
  </w:footnote>
  <w:footnote w:id="1">
    <w:p w14:paraId="7BFD7263" w14:textId="77777777" w:rsidR="00AE41F0" w:rsidRPr="00606A16" w:rsidRDefault="00AE41F0" w:rsidP="00AE41F0">
      <w:pPr>
        <w:pStyle w:val="FootnoteText"/>
        <w:rPr>
          <w:rFonts w:ascii="Arial" w:hAnsi="Arial" w:cs="Arial"/>
        </w:rPr>
      </w:pPr>
      <w:r>
        <w:rPr>
          <w:rStyle w:val="FootnoteReference"/>
        </w:rPr>
        <w:footnoteRef/>
      </w:r>
      <w:r>
        <w:t xml:space="preserve"> </w:t>
      </w:r>
      <w:r w:rsidRPr="00606A16">
        <w:rPr>
          <w:rFonts w:ascii="Arial" w:hAnsi="Arial" w:cs="Arial"/>
        </w:rPr>
        <w:t>If the provider has a cognizant agency-approved indirect cost rate, the total indirect costs are determined by applying the approved rate to the approved allocation base and is reported in the “Indirect Cost” line item in   Schedule of Direct and Indirect Cost Part A. There is no need for the provider to itemize any indirect cost elements and no additional indirect cost can be claimed outside of the approved indirect cost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A5F3" w14:textId="0DCA9801" w:rsidR="00FD388B" w:rsidRPr="005D3470" w:rsidRDefault="00FD388B" w:rsidP="00FD388B">
    <w:pPr>
      <w:pStyle w:val="Header"/>
      <w:jc w:val="right"/>
      <w:rPr>
        <w:rFonts w:ascii="Arial" w:hAnsi="Arial" w:cs="Arial"/>
        <w:sz w:val="16"/>
        <w:szCs w:val="16"/>
      </w:rPr>
    </w:pPr>
    <w:r>
      <w:tab/>
    </w:r>
    <w:r w:rsidR="007C4441">
      <w:rPr>
        <w:rFonts w:ascii="Arial" w:hAnsi="Arial" w:cs="Arial"/>
        <w:sz w:val="16"/>
        <w:szCs w:val="16"/>
      </w:rPr>
      <w:t>Exhibit K</w:t>
    </w:r>
  </w:p>
  <w:p w14:paraId="3161959A" w14:textId="1B2DFBA8" w:rsidR="00FD388B" w:rsidRDefault="00FD388B" w:rsidP="00FD388B">
    <w:pPr>
      <w:pStyle w:val="Header"/>
      <w:tabs>
        <w:tab w:val="clear" w:pos="4680"/>
        <w:tab w:val="clear" w:pos="9360"/>
        <w:tab w:val="left" w:pos="2535"/>
      </w:tabs>
    </w:pPr>
  </w:p>
  <w:p w14:paraId="52D79CE3" w14:textId="4AC194C1" w:rsidR="00AD210B" w:rsidRDefault="00AD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F8A"/>
    <w:multiLevelType w:val="hybridMultilevel"/>
    <w:tmpl w:val="974A6B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860F4"/>
    <w:multiLevelType w:val="hybridMultilevel"/>
    <w:tmpl w:val="12C684C8"/>
    <w:lvl w:ilvl="0" w:tplc="AD9EF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3A4FCA"/>
    <w:multiLevelType w:val="hybridMultilevel"/>
    <w:tmpl w:val="0BF86B0C"/>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461584"/>
    <w:multiLevelType w:val="hybridMultilevel"/>
    <w:tmpl w:val="4DD07B4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926CEE"/>
    <w:multiLevelType w:val="hybridMultilevel"/>
    <w:tmpl w:val="E3AE262C"/>
    <w:lvl w:ilvl="0" w:tplc="AD9EF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122FCA"/>
    <w:multiLevelType w:val="hybridMultilevel"/>
    <w:tmpl w:val="B9E2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5D00DB"/>
    <w:multiLevelType w:val="hybridMultilevel"/>
    <w:tmpl w:val="00981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5E02E6"/>
    <w:multiLevelType w:val="hybridMultilevel"/>
    <w:tmpl w:val="3934F326"/>
    <w:lvl w:ilvl="0" w:tplc="A24E2B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EF2021"/>
    <w:multiLevelType w:val="hybridMultilevel"/>
    <w:tmpl w:val="CE1463BE"/>
    <w:lvl w:ilvl="0" w:tplc="814A79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F87B96"/>
    <w:multiLevelType w:val="hybridMultilevel"/>
    <w:tmpl w:val="FC061EE8"/>
    <w:lvl w:ilvl="0" w:tplc="AD9EF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045565"/>
    <w:multiLevelType w:val="hybridMultilevel"/>
    <w:tmpl w:val="6FF6A85C"/>
    <w:lvl w:ilvl="0" w:tplc="823232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852D81"/>
    <w:multiLevelType w:val="hybridMultilevel"/>
    <w:tmpl w:val="DEDC5052"/>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40E1825"/>
    <w:multiLevelType w:val="hybridMultilevel"/>
    <w:tmpl w:val="E3AE262C"/>
    <w:lvl w:ilvl="0" w:tplc="AD9EF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924AE7"/>
    <w:multiLevelType w:val="hybridMultilevel"/>
    <w:tmpl w:val="FC061EE8"/>
    <w:lvl w:ilvl="0" w:tplc="AD9EFE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5A35423"/>
    <w:multiLevelType w:val="hybridMultilevel"/>
    <w:tmpl w:val="AB58018A"/>
    <w:lvl w:ilvl="0" w:tplc="835CF208">
      <w:start w:val="1"/>
      <w:numFmt w:val="decimal"/>
      <w:lvlText w:val="%1)"/>
      <w:lvlJc w:val="left"/>
      <w:pPr>
        <w:ind w:left="1800" w:hanging="360"/>
      </w:pPr>
      <w:rPr>
        <w:rFonts w:ascii="Arial" w:eastAsiaTheme="minorHAnsi" w:hAnsi="Arial" w:cs="Arial"/>
      </w:rPr>
    </w:lvl>
    <w:lvl w:ilvl="1" w:tplc="0409000D">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6D47721"/>
    <w:multiLevelType w:val="hybridMultilevel"/>
    <w:tmpl w:val="CE1463BE"/>
    <w:lvl w:ilvl="0" w:tplc="814A79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71830FF"/>
    <w:multiLevelType w:val="hybridMultilevel"/>
    <w:tmpl w:val="15DE5FD0"/>
    <w:lvl w:ilvl="0" w:tplc="B316E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7A244F3"/>
    <w:multiLevelType w:val="hybridMultilevel"/>
    <w:tmpl w:val="CE1463BE"/>
    <w:lvl w:ilvl="0" w:tplc="814A79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920194C"/>
    <w:multiLevelType w:val="hybridMultilevel"/>
    <w:tmpl w:val="45180A50"/>
    <w:lvl w:ilvl="0" w:tplc="F170DB6E">
      <w:start w:val="1"/>
      <w:numFmt w:val="decimal"/>
      <w:lvlText w:val="%1)"/>
      <w:lvlJc w:val="left"/>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B972E19"/>
    <w:multiLevelType w:val="hybridMultilevel"/>
    <w:tmpl w:val="865E2E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213D74"/>
    <w:multiLevelType w:val="hybridMultilevel"/>
    <w:tmpl w:val="AC7A31B0"/>
    <w:lvl w:ilvl="0" w:tplc="7646D3D4">
      <w:start w:val="1"/>
      <w:numFmt w:val="decimal"/>
      <w:lvlText w:val="%1)"/>
      <w:lvlJc w:val="left"/>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1BB416B"/>
    <w:multiLevelType w:val="hybridMultilevel"/>
    <w:tmpl w:val="7062BA96"/>
    <w:lvl w:ilvl="0" w:tplc="C35293BC">
      <w:start w:val="1"/>
      <w:numFmt w:val="decimal"/>
      <w:lvlText w:val="%1)"/>
      <w:lvlJc w:val="left"/>
      <w:pPr>
        <w:ind w:left="1800" w:hanging="360"/>
      </w:pPr>
      <w:rPr>
        <w:rFonts w:ascii="Arial" w:eastAsiaTheme="minorHAnsi" w:hAnsi="Arial" w:cs="Arial"/>
      </w:rPr>
    </w:lvl>
    <w:lvl w:ilvl="1" w:tplc="0409000D">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1DC2D5E"/>
    <w:multiLevelType w:val="hybridMultilevel"/>
    <w:tmpl w:val="780861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804F1A"/>
    <w:multiLevelType w:val="hybridMultilevel"/>
    <w:tmpl w:val="3934F326"/>
    <w:lvl w:ilvl="0" w:tplc="A24E2B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36B7CED"/>
    <w:multiLevelType w:val="hybridMultilevel"/>
    <w:tmpl w:val="A68E288E"/>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6C16530"/>
    <w:multiLevelType w:val="hybridMultilevel"/>
    <w:tmpl w:val="12C684C8"/>
    <w:lvl w:ilvl="0" w:tplc="AD9EF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B5218B9"/>
    <w:multiLevelType w:val="hybridMultilevel"/>
    <w:tmpl w:val="53BCB8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D901ACC"/>
    <w:multiLevelType w:val="hybridMultilevel"/>
    <w:tmpl w:val="CE1463BE"/>
    <w:lvl w:ilvl="0" w:tplc="814A79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F7312B3"/>
    <w:multiLevelType w:val="hybridMultilevel"/>
    <w:tmpl w:val="4C54BA26"/>
    <w:lvl w:ilvl="0" w:tplc="34CAA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F8C43B1"/>
    <w:multiLevelType w:val="hybridMultilevel"/>
    <w:tmpl w:val="7062BA96"/>
    <w:lvl w:ilvl="0" w:tplc="C35293BC">
      <w:start w:val="1"/>
      <w:numFmt w:val="decimal"/>
      <w:lvlText w:val="%1)"/>
      <w:lvlJc w:val="left"/>
      <w:pPr>
        <w:ind w:left="1800" w:hanging="360"/>
      </w:pPr>
      <w:rPr>
        <w:rFonts w:ascii="Arial" w:eastAsiaTheme="minorHAnsi" w:hAnsi="Arial" w:cs="Arial"/>
      </w:rPr>
    </w:lvl>
    <w:lvl w:ilvl="1" w:tplc="0409000D">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04A3570"/>
    <w:multiLevelType w:val="hybridMultilevel"/>
    <w:tmpl w:val="2D321D8E"/>
    <w:lvl w:ilvl="0" w:tplc="4DCE25EE">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0C82A11"/>
    <w:multiLevelType w:val="hybridMultilevel"/>
    <w:tmpl w:val="A5FC5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A3A25A4">
      <w:start w:val="1"/>
      <w:numFmt w:val="decimal"/>
      <w:lvlText w:val="%3)"/>
      <w:lvlJc w:val="left"/>
      <w:pPr>
        <w:ind w:left="2340" w:hanging="360"/>
      </w:pPr>
      <w:rPr>
        <w:rFonts w:ascii="Arial" w:eastAsiaTheme="minorHAns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2B7727"/>
    <w:multiLevelType w:val="hybridMultilevel"/>
    <w:tmpl w:val="80A6E8AC"/>
    <w:lvl w:ilvl="0" w:tplc="A24E2BD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24948B9"/>
    <w:multiLevelType w:val="hybridMultilevel"/>
    <w:tmpl w:val="FC061EE8"/>
    <w:lvl w:ilvl="0" w:tplc="AD9EF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6187FF1"/>
    <w:multiLevelType w:val="hybridMultilevel"/>
    <w:tmpl w:val="37C05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FD0584"/>
    <w:multiLevelType w:val="hybridMultilevel"/>
    <w:tmpl w:val="7C461F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A1507DF"/>
    <w:multiLevelType w:val="hybridMultilevel"/>
    <w:tmpl w:val="80A6E8AC"/>
    <w:lvl w:ilvl="0" w:tplc="A24E2BD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B5863F2"/>
    <w:multiLevelType w:val="hybridMultilevel"/>
    <w:tmpl w:val="15DE5FD0"/>
    <w:lvl w:ilvl="0" w:tplc="B316E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D2B6882"/>
    <w:multiLevelType w:val="hybridMultilevel"/>
    <w:tmpl w:val="734E18A6"/>
    <w:lvl w:ilvl="0" w:tplc="0D501F20">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F607F9"/>
    <w:multiLevelType w:val="hybridMultilevel"/>
    <w:tmpl w:val="FCCC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352202"/>
    <w:multiLevelType w:val="hybridMultilevel"/>
    <w:tmpl w:val="B95A492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945C79"/>
    <w:multiLevelType w:val="hybridMultilevel"/>
    <w:tmpl w:val="BB58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6E1091"/>
    <w:multiLevelType w:val="hybridMultilevel"/>
    <w:tmpl w:val="15DE5FD0"/>
    <w:lvl w:ilvl="0" w:tplc="B316E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660112F"/>
    <w:multiLevelType w:val="hybridMultilevel"/>
    <w:tmpl w:val="C59A4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823294F"/>
    <w:multiLevelType w:val="hybridMultilevel"/>
    <w:tmpl w:val="F2EE5E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8BB652D"/>
    <w:multiLevelType w:val="hybridMultilevel"/>
    <w:tmpl w:val="2D321D8E"/>
    <w:lvl w:ilvl="0" w:tplc="4DCE25EE">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E3320E"/>
    <w:multiLevelType w:val="hybridMultilevel"/>
    <w:tmpl w:val="29BC738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ED0401A"/>
    <w:multiLevelType w:val="hybridMultilevel"/>
    <w:tmpl w:val="DA42C3EC"/>
    <w:lvl w:ilvl="0" w:tplc="0409000F">
      <w:start w:val="1"/>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54A5269"/>
    <w:multiLevelType w:val="hybridMultilevel"/>
    <w:tmpl w:val="FC061EE8"/>
    <w:lvl w:ilvl="0" w:tplc="AD9EF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7EF4496"/>
    <w:multiLevelType w:val="hybridMultilevel"/>
    <w:tmpl w:val="E69461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A0543F2"/>
    <w:multiLevelType w:val="hybridMultilevel"/>
    <w:tmpl w:val="487289C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413BD3"/>
    <w:multiLevelType w:val="hybridMultilevel"/>
    <w:tmpl w:val="15DE5FD0"/>
    <w:lvl w:ilvl="0" w:tplc="B316E3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D474654"/>
    <w:multiLevelType w:val="hybridMultilevel"/>
    <w:tmpl w:val="72B88D90"/>
    <w:lvl w:ilvl="0" w:tplc="0409000F">
      <w:start w:val="1"/>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DF667D0"/>
    <w:multiLevelType w:val="hybridMultilevel"/>
    <w:tmpl w:val="6F1C04E8"/>
    <w:lvl w:ilvl="0" w:tplc="AD9EF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E0B18B6"/>
    <w:multiLevelType w:val="hybridMultilevel"/>
    <w:tmpl w:val="AB58018A"/>
    <w:lvl w:ilvl="0" w:tplc="835CF208">
      <w:start w:val="1"/>
      <w:numFmt w:val="decimal"/>
      <w:lvlText w:val="%1)"/>
      <w:lvlJc w:val="left"/>
      <w:pPr>
        <w:ind w:left="1800" w:hanging="360"/>
      </w:pPr>
      <w:rPr>
        <w:rFonts w:ascii="Arial" w:eastAsiaTheme="minorHAnsi" w:hAnsi="Arial" w:cs="Arial"/>
      </w:rPr>
    </w:lvl>
    <w:lvl w:ilvl="1" w:tplc="0409000D">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1083225"/>
    <w:multiLevelType w:val="hybridMultilevel"/>
    <w:tmpl w:val="EFB494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BC377AA"/>
    <w:multiLevelType w:val="hybridMultilevel"/>
    <w:tmpl w:val="FDA8AB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D547C25"/>
    <w:multiLevelType w:val="hybridMultilevel"/>
    <w:tmpl w:val="6F1C04E8"/>
    <w:lvl w:ilvl="0" w:tplc="AD9EF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2462F34"/>
    <w:multiLevelType w:val="hybridMultilevel"/>
    <w:tmpl w:val="22D2229E"/>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47E5DA6"/>
    <w:multiLevelType w:val="hybridMultilevel"/>
    <w:tmpl w:val="A0DE12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912D70"/>
    <w:multiLevelType w:val="hybridMultilevel"/>
    <w:tmpl w:val="80A6E8AC"/>
    <w:lvl w:ilvl="0" w:tplc="A24E2BD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4CB54F5"/>
    <w:multiLevelType w:val="hybridMultilevel"/>
    <w:tmpl w:val="EE746138"/>
    <w:lvl w:ilvl="0" w:tplc="21C280A2">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4D26E25"/>
    <w:multiLevelType w:val="hybridMultilevel"/>
    <w:tmpl w:val="3768F61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4E13E6A"/>
    <w:multiLevelType w:val="hybridMultilevel"/>
    <w:tmpl w:val="4B6CBF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A6F389B"/>
    <w:multiLevelType w:val="hybridMultilevel"/>
    <w:tmpl w:val="BBA2CF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F122249"/>
    <w:multiLevelType w:val="hybridMultilevel"/>
    <w:tmpl w:val="EE746138"/>
    <w:lvl w:ilvl="0" w:tplc="21C280A2">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8"/>
  </w:num>
  <w:num w:numId="3">
    <w:abstractNumId w:val="20"/>
  </w:num>
  <w:num w:numId="4">
    <w:abstractNumId w:val="54"/>
  </w:num>
  <w:num w:numId="5">
    <w:abstractNumId w:val="29"/>
  </w:num>
  <w:num w:numId="6">
    <w:abstractNumId w:val="10"/>
  </w:num>
  <w:num w:numId="7">
    <w:abstractNumId w:val="38"/>
  </w:num>
  <w:num w:numId="8">
    <w:abstractNumId w:val="64"/>
  </w:num>
  <w:num w:numId="9">
    <w:abstractNumId w:val="62"/>
  </w:num>
  <w:num w:numId="10">
    <w:abstractNumId w:val="34"/>
  </w:num>
  <w:num w:numId="11">
    <w:abstractNumId w:val="41"/>
  </w:num>
  <w:num w:numId="12">
    <w:abstractNumId w:val="11"/>
  </w:num>
  <w:num w:numId="13">
    <w:abstractNumId w:val="23"/>
  </w:num>
  <w:num w:numId="14">
    <w:abstractNumId w:val="51"/>
  </w:num>
  <w:num w:numId="15">
    <w:abstractNumId w:val="17"/>
  </w:num>
  <w:num w:numId="16">
    <w:abstractNumId w:val="13"/>
  </w:num>
  <w:num w:numId="17">
    <w:abstractNumId w:val="65"/>
  </w:num>
  <w:num w:numId="18">
    <w:abstractNumId w:val="16"/>
  </w:num>
  <w:num w:numId="19">
    <w:abstractNumId w:val="8"/>
  </w:num>
  <w:num w:numId="20">
    <w:abstractNumId w:val="48"/>
  </w:num>
  <w:num w:numId="21">
    <w:abstractNumId w:val="37"/>
  </w:num>
  <w:num w:numId="22">
    <w:abstractNumId w:val="27"/>
  </w:num>
  <w:num w:numId="23">
    <w:abstractNumId w:val="9"/>
  </w:num>
  <w:num w:numId="24">
    <w:abstractNumId w:val="7"/>
  </w:num>
  <w:num w:numId="25">
    <w:abstractNumId w:val="36"/>
  </w:num>
  <w:num w:numId="26">
    <w:abstractNumId w:val="60"/>
  </w:num>
  <w:num w:numId="27">
    <w:abstractNumId w:val="42"/>
  </w:num>
  <w:num w:numId="28">
    <w:abstractNumId w:val="15"/>
  </w:num>
  <w:num w:numId="29">
    <w:abstractNumId w:val="33"/>
  </w:num>
  <w:num w:numId="30">
    <w:abstractNumId w:val="55"/>
  </w:num>
  <w:num w:numId="31">
    <w:abstractNumId w:val="47"/>
  </w:num>
  <w:num w:numId="32">
    <w:abstractNumId w:val="58"/>
  </w:num>
  <w:num w:numId="33">
    <w:abstractNumId w:val="30"/>
  </w:num>
  <w:num w:numId="34">
    <w:abstractNumId w:val="57"/>
  </w:num>
  <w:num w:numId="35">
    <w:abstractNumId w:val="4"/>
  </w:num>
  <w:num w:numId="36">
    <w:abstractNumId w:val="1"/>
  </w:num>
  <w:num w:numId="37">
    <w:abstractNumId w:val="45"/>
  </w:num>
  <w:num w:numId="38">
    <w:abstractNumId w:val="53"/>
  </w:num>
  <w:num w:numId="39">
    <w:abstractNumId w:val="12"/>
  </w:num>
  <w:num w:numId="40">
    <w:abstractNumId w:val="25"/>
  </w:num>
  <w:num w:numId="41">
    <w:abstractNumId w:val="40"/>
  </w:num>
  <w:num w:numId="42">
    <w:abstractNumId w:val="2"/>
  </w:num>
  <w:num w:numId="43">
    <w:abstractNumId w:val="52"/>
  </w:num>
  <w:num w:numId="44">
    <w:abstractNumId w:val="22"/>
  </w:num>
  <w:num w:numId="45">
    <w:abstractNumId w:val="24"/>
  </w:num>
  <w:num w:numId="46">
    <w:abstractNumId w:val="31"/>
  </w:num>
  <w:num w:numId="47">
    <w:abstractNumId w:val="3"/>
  </w:num>
  <w:num w:numId="48">
    <w:abstractNumId w:val="35"/>
  </w:num>
  <w:num w:numId="49">
    <w:abstractNumId w:val="32"/>
  </w:num>
  <w:num w:numId="50">
    <w:abstractNumId w:val="61"/>
  </w:num>
  <w:num w:numId="51">
    <w:abstractNumId w:val="14"/>
  </w:num>
  <w:num w:numId="52">
    <w:abstractNumId w:val="21"/>
  </w:num>
  <w:num w:numId="53">
    <w:abstractNumId w:val="59"/>
  </w:num>
  <w:num w:numId="54">
    <w:abstractNumId w:val="6"/>
  </w:num>
  <w:num w:numId="55">
    <w:abstractNumId w:val="39"/>
  </w:num>
  <w:num w:numId="56">
    <w:abstractNumId w:val="46"/>
  </w:num>
  <w:num w:numId="57">
    <w:abstractNumId w:val="49"/>
  </w:num>
  <w:num w:numId="58">
    <w:abstractNumId w:val="26"/>
  </w:num>
  <w:num w:numId="59">
    <w:abstractNumId w:val="19"/>
  </w:num>
  <w:num w:numId="60">
    <w:abstractNumId w:val="56"/>
  </w:num>
  <w:num w:numId="61">
    <w:abstractNumId w:val="43"/>
  </w:num>
  <w:num w:numId="62">
    <w:abstractNumId w:val="28"/>
  </w:num>
  <w:num w:numId="63">
    <w:abstractNumId w:val="50"/>
  </w:num>
  <w:num w:numId="64">
    <w:abstractNumId w:val="63"/>
  </w:num>
  <w:num w:numId="65">
    <w:abstractNumId w:val="0"/>
  </w:num>
  <w:num w:numId="66">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66"/>
    <w:rsid w:val="0002508D"/>
    <w:rsid w:val="000253E6"/>
    <w:rsid w:val="000308CC"/>
    <w:rsid w:val="00043194"/>
    <w:rsid w:val="00045272"/>
    <w:rsid w:val="00062A96"/>
    <w:rsid w:val="00081BDC"/>
    <w:rsid w:val="00086F77"/>
    <w:rsid w:val="00092CC0"/>
    <w:rsid w:val="00096698"/>
    <w:rsid w:val="00096C9D"/>
    <w:rsid w:val="000A3237"/>
    <w:rsid w:val="000A65E5"/>
    <w:rsid w:val="000B349D"/>
    <w:rsid w:val="000C24C9"/>
    <w:rsid w:val="000C2D14"/>
    <w:rsid w:val="000D1BC7"/>
    <w:rsid w:val="000D6B26"/>
    <w:rsid w:val="000F312D"/>
    <w:rsid w:val="00110676"/>
    <w:rsid w:val="00112197"/>
    <w:rsid w:val="001136BB"/>
    <w:rsid w:val="0011524D"/>
    <w:rsid w:val="001155E3"/>
    <w:rsid w:val="001176AC"/>
    <w:rsid w:val="00121A4D"/>
    <w:rsid w:val="0012369D"/>
    <w:rsid w:val="00131511"/>
    <w:rsid w:val="00133761"/>
    <w:rsid w:val="0014128E"/>
    <w:rsid w:val="001545B9"/>
    <w:rsid w:val="001603F8"/>
    <w:rsid w:val="00160A8D"/>
    <w:rsid w:val="00160E7A"/>
    <w:rsid w:val="00165175"/>
    <w:rsid w:val="001727A8"/>
    <w:rsid w:val="00183AF8"/>
    <w:rsid w:val="00192F0B"/>
    <w:rsid w:val="001A4102"/>
    <w:rsid w:val="001A6767"/>
    <w:rsid w:val="001B218B"/>
    <w:rsid w:val="001C05F3"/>
    <w:rsid w:val="001C2E22"/>
    <w:rsid w:val="001D2491"/>
    <w:rsid w:val="001D487A"/>
    <w:rsid w:val="001F0311"/>
    <w:rsid w:val="001F2AAF"/>
    <w:rsid w:val="00206718"/>
    <w:rsid w:val="00223BE6"/>
    <w:rsid w:val="0022460B"/>
    <w:rsid w:val="00237067"/>
    <w:rsid w:val="00261AD1"/>
    <w:rsid w:val="002627C8"/>
    <w:rsid w:val="002A32C4"/>
    <w:rsid w:val="002A4999"/>
    <w:rsid w:val="002B1FE8"/>
    <w:rsid w:val="002B277D"/>
    <w:rsid w:val="002B584C"/>
    <w:rsid w:val="002C06CE"/>
    <w:rsid w:val="002C126F"/>
    <w:rsid w:val="002C17B8"/>
    <w:rsid w:val="002C29F1"/>
    <w:rsid w:val="002E11D8"/>
    <w:rsid w:val="002F56C5"/>
    <w:rsid w:val="00301D32"/>
    <w:rsid w:val="00307B30"/>
    <w:rsid w:val="00316AAF"/>
    <w:rsid w:val="0032625F"/>
    <w:rsid w:val="0033750C"/>
    <w:rsid w:val="0034763A"/>
    <w:rsid w:val="00356C55"/>
    <w:rsid w:val="00361C57"/>
    <w:rsid w:val="00362FD9"/>
    <w:rsid w:val="00366792"/>
    <w:rsid w:val="0036766A"/>
    <w:rsid w:val="00367B84"/>
    <w:rsid w:val="00367F3B"/>
    <w:rsid w:val="0038107F"/>
    <w:rsid w:val="00383F30"/>
    <w:rsid w:val="003A1394"/>
    <w:rsid w:val="003A2AA4"/>
    <w:rsid w:val="003A3084"/>
    <w:rsid w:val="003B3FD3"/>
    <w:rsid w:val="003B538A"/>
    <w:rsid w:val="003B7B51"/>
    <w:rsid w:val="003D5E6F"/>
    <w:rsid w:val="003E1B5F"/>
    <w:rsid w:val="003F2D71"/>
    <w:rsid w:val="003F47B3"/>
    <w:rsid w:val="003F638E"/>
    <w:rsid w:val="00410B6F"/>
    <w:rsid w:val="00411E85"/>
    <w:rsid w:val="0041412C"/>
    <w:rsid w:val="00421A5C"/>
    <w:rsid w:val="0042213C"/>
    <w:rsid w:val="00424FF6"/>
    <w:rsid w:val="00431D8F"/>
    <w:rsid w:val="00432DFA"/>
    <w:rsid w:val="0043617D"/>
    <w:rsid w:val="00436C62"/>
    <w:rsid w:val="00437DAF"/>
    <w:rsid w:val="004407F1"/>
    <w:rsid w:val="00441C74"/>
    <w:rsid w:val="00446B1A"/>
    <w:rsid w:val="00452E1A"/>
    <w:rsid w:val="00461005"/>
    <w:rsid w:val="00464E93"/>
    <w:rsid w:val="00467B38"/>
    <w:rsid w:val="00476323"/>
    <w:rsid w:val="00491D9C"/>
    <w:rsid w:val="004B244E"/>
    <w:rsid w:val="004B4426"/>
    <w:rsid w:val="004C21F1"/>
    <w:rsid w:val="004C2E67"/>
    <w:rsid w:val="004D2928"/>
    <w:rsid w:val="004D6296"/>
    <w:rsid w:val="004F45CB"/>
    <w:rsid w:val="005002B7"/>
    <w:rsid w:val="00503CAF"/>
    <w:rsid w:val="005050AC"/>
    <w:rsid w:val="005050F6"/>
    <w:rsid w:val="0050595C"/>
    <w:rsid w:val="00520BC0"/>
    <w:rsid w:val="005278DC"/>
    <w:rsid w:val="005442B5"/>
    <w:rsid w:val="0054495F"/>
    <w:rsid w:val="005541E5"/>
    <w:rsid w:val="00560084"/>
    <w:rsid w:val="0056358C"/>
    <w:rsid w:val="00566452"/>
    <w:rsid w:val="00582CA6"/>
    <w:rsid w:val="00583567"/>
    <w:rsid w:val="00590428"/>
    <w:rsid w:val="005A1261"/>
    <w:rsid w:val="005A7F49"/>
    <w:rsid w:val="005B4542"/>
    <w:rsid w:val="005C7AB9"/>
    <w:rsid w:val="005E1B89"/>
    <w:rsid w:val="005E1D86"/>
    <w:rsid w:val="006004CE"/>
    <w:rsid w:val="006047B5"/>
    <w:rsid w:val="00606A16"/>
    <w:rsid w:val="00615A22"/>
    <w:rsid w:val="00624F5C"/>
    <w:rsid w:val="00630159"/>
    <w:rsid w:val="00631E6D"/>
    <w:rsid w:val="00632FBA"/>
    <w:rsid w:val="00652461"/>
    <w:rsid w:val="006601DC"/>
    <w:rsid w:val="0066547A"/>
    <w:rsid w:val="00672F0F"/>
    <w:rsid w:val="00673010"/>
    <w:rsid w:val="0067487C"/>
    <w:rsid w:val="006835ED"/>
    <w:rsid w:val="00690113"/>
    <w:rsid w:val="00690AD3"/>
    <w:rsid w:val="0069543D"/>
    <w:rsid w:val="006A2D01"/>
    <w:rsid w:val="006B24AD"/>
    <w:rsid w:val="006B25D8"/>
    <w:rsid w:val="006B3779"/>
    <w:rsid w:val="006D4D67"/>
    <w:rsid w:val="006D65CB"/>
    <w:rsid w:val="006E33AC"/>
    <w:rsid w:val="006F23A1"/>
    <w:rsid w:val="006F4904"/>
    <w:rsid w:val="006F6849"/>
    <w:rsid w:val="0070044C"/>
    <w:rsid w:val="00705884"/>
    <w:rsid w:val="007207A4"/>
    <w:rsid w:val="00720C9C"/>
    <w:rsid w:val="007213B6"/>
    <w:rsid w:val="00722B8B"/>
    <w:rsid w:val="00726F7C"/>
    <w:rsid w:val="00730EE5"/>
    <w:rsid w:val="0073446A"/>
    <w:rsid w:val="007347FA"/>
    <w:rsid w:val="00735964"/>
    <w:rsid w:val="00742579"/>
    <w:rsid w:val="00742A96"/>
    <w:rsid w:val="0074727D"/>
    <w:rsid w:val="00753907"/>
    <w:rsid w:val="0076619E"/>
    <w:rsid w:val="00771D9C"/>
    <w:rsid w:val="00774218"/>
    <w:rsid w:val="007A0DB6"/>
    <w:rsid w:val="007A2510"/>
    <w:rsid w:val="007A5B0D"/>
    <w:rsid w:val="007A74F1"/>
    <w:rsid w:val="007B3D34"/>
    <w:rsid w:val="007B43B6"/>
    <w:rsid w:val="007B4C4F"/>
    <w:rsid w:val="007B569A"/>
    <w:rsid w:val="007C4441"/>
    <w:rsid w:val="007D6ED9"/>
    <w:rsid w:val="007E5595"/>
    <w:rsid w:val="007F18D8"/>
    <w:rsid w:val="008001CB"/>
    <w:rsid w:val="00815386"/>
    <w:rsid w:val="008170EB"/>
    <w:rsid w:val="008229E9"/>
    <w:rsid w:val="00832EC2"/>
    <w:rsid w:val="00860736"/>
    <w:rsid w:val="00864D25"/>
    <w:rsid w:val="00870A11"/>
    <w:rsid w:val="00873E68"/>
    <w:rsid w:val="00874040"/>
    <w:rsid w:val="00883ACC"/>
    <w:rsid w:val="00884553"/>
    <w:rsid w:val="00893EF8"/>
    <w:rsid w:val="008A0411"/>
    <w:rsid w:val="008B6327"/>
    <w:rsid w:val="008C14A4"/>
    <w:rsid w:val="008C1508"/>
    <w:rsid w:val="008C18FA"/>
    <w:rsid w:val="008C326E"/>
    <w:rsid w:val="008C455A"/>
    <w:rsid w:val="008C635F"/>
    <w:rsid w:val="008D481E"/>
    <w:rsid w:val="008D4B4D"/>
    <w:rsid w:val="008D5122"/>
    <w:rsid w:val="00902C07"/>
    <w:rsid w:val="0090662B"/>
    <w:rsid w:val="00906F45"/>
    <w:rsid w:val="0091129E"/>
    <w:rsid w:val="00911B7A"/>
    <w:rsid w:val="00916302"/>
    <w:rsid w:val="009212A3"/>
    <w:rsid w:val="009218A8"/>
    <w:rsid w:val="00933725"/>
    <w:rsid w:val="00934079"/>
    <w:rsid w:val="009370AE"/>
    <w:rsid w:val="00937ED4"/>
    <w:rsid w:val="00946C33"/>
    <w:rsid w:val="00971E7D"/>
    <w:rsid w:val="00972392"/>
    <w:rsid w:val="00987C89"/>
    <w:rsid w:val="00990144"/>
    <w:rsid w:val="00994D8A"/>
    <w:rsid w:val="009A0ADB"/>
    <w:rsid w:val="009A58FD"/>
    <w:rsid w:val="009B0D19"/>
    <w:rsid w:val="009B22F6"/>
    <w:rsid w:val="009C51AC"/>
    <w:rsid w:val="009D0D4C"/>
    <w:rsid w:val="009D6135"/>
    <w:rsid w:val="009D7528"/>
    <w:rsid w:val="009D7E08"/>
    <w:rsid w:val="009E4520"/>
    <w:rsid w:val="009E52A5"/>
    <w:rsid w:val="009F646C"/>
    <w:rsid w:val="009F78A4"/>
    <w:rsid w:val="009F7DF4"/>
    <w:rsid w:val="00A05E95"/>
    <w:rsid w:val="00A06042"/>
    <w:rsid w:val="00A21DF5"/>
    <w:rsid w:val="00A23C14"/>
    <w:rsid w:val="00A3182F"/>
    <w:rsid w:val="00A3456E"/>
    <w:rsid w:val="00A4382A"/>
    <w:rsid w:val="00A5392C"/>
    <w:rsid w:val="00A54BDB"/>
    <w:rsid w:val="00A563A9"/>
    <w:rsid w:val="00A57D92"/>
    <w:rsid w:val="00A8289D"/>
    <w:rsid w:val="00AA369A"/>
    <w:rsid w:val="00AA77F0"/>
    <w:rsid w:val="00AC1EFF"/>
    <w:rsid w:val="00AC7CB2"/>
    <w:rsid w:val="00AD06E2"/>
    <w:rsid w:val="00AD210B"/>
    <w:rsid w:val="00AD6EC3"/>
    <w:rsid w:val="00AE056E"/>
    <w:rsid w:val="00AE41F0"/>
    <w:rsid w:val="00AE4BE9"/>
    <w:rsid w:val="00AE6920"/>
    <w:rsid w:val="00AE79D3"/>
    <w:rsid w:val="00AF0B08"/>
    <w:rsid w:val="00AF35DD"/>
    <w:rsid w:val="00AF548D"/>
    <w:rsid w:val="00B00C6A"/>
    <w:rsid w:val="00B039DD"/>
    <w:rsid w:val="00B2023F"/>
    <w:rsid w:val="00B22EF7"/>
    <w:rsid w:val="00B264E0"/>
    <w:rsid w:val="00B31688"/>
    <w:rsid w:val="00B35342"/>
    <w:rsid w:val="00B46FD5"/>
    <w:rsid w:val="00B50C4A"/>
    <w:rsid w:val="00B520FC"/>
    <w:rsid w:val="00B564DD"/>
    <w:rsid w:val="00B7578E"/>
    <w:rsid w:val="00B83313"/>
    <w:rsid w:val="00B85E6F"/>
    <w:rsid w:val="00B939B3"/>
    <w:rsid w:val="00BA05CC"/>
    <w:rsid w:val="00BA119E"/>
    <w:rsid w:val="00BA5BA0"/>
    <w:rsid w:val="00BB093D"/>
    <w:rsid w:val="00BB226A"/>
    <w:rsid w:val="00BB33B8"/>
    <w:rsid w:val="00BB6841"/>
    <w:rsid w:val="00BC7113"/>
    <w:rsid w:val="00BD1651"/>
    <w:rsid w:val="00BD3D64"/>
    <w:rsid w:val="00BF47B4"/>
    <w:rsid w:val="00BF47EC"/>
    <w:rsid w:val="00C05006"/>
    <w:rsid w:val="00C11E00"/>
    <w:rsid w:val="00C11F80"/>
    <w:rsid w:val="00C14485"/>
    <w:rsid w:val="00C321CE"/>
    <w:rsid w:val="00C40470"/>
    <w:rsid w:val="00C438AF"/>
    <w:rsid w:val="00C4411A"/>
    <w:rsid w:val="00C473B8"/>
    <w:rsid w:val="00C541ED"/>
    <w:rsid w:val="00C56334"/>
    <w:rsid w:val="00C758B1"/>
    <w:rsid w:val="00C75A73"/>
    <w:rsid w:val="00C76727"/>
    <w:rsid w:val="00C87B02"/>
    <w:rsid w:val="00C92025"/>
    <w:rsid w:val="00C93213"/>
    <w:rsid w:val="00C94B66"/>
    <w:rsid w:val="00C96C76"/>
    <w:rsid w:val="00CA2498"/>
    <w:rsid w:val="00CA6FF2"/>
    <w:rsid w:val="00CC2633"/>
    <w:rsid w:val="00CC502E"/>
    <w:rsid w:val="00CD13A8"/>
    <w:rsid w:val="00CD2E90"/>
    <w:rsid w:val="00CD76CA"/>
    <w:rsid w:val="00CE00B0"/>
    <w:rsid w:val="00CF4AD5"/>
    <w:rsid w:val="00CF4B8B"/>
    <w:rsid w:val="00D037DB"/>
    <w:rsid w:val="00D1343B"/>
    <w:rsid w:val="00D1728B"/>
    <w:rsid w:val="00D31E31"/>
    <w:rsid w:val="00D35524"/>
    <w:rsid w:val="00D36C59"/>
    <w:rsid w:val="00D632BD"/>
    <w:rsid w:val="00D67B0F"/>
    <w:rsid w:val="00D75E00"/>
    <w:rsid w:val="00D829F1"/>
    <w:rsid w:val="00D87842"/>
    <w:rsid w:val="00D94E7F"/>
    <w:rsid w:val="00DB0EB0"/>
    <w:rsid w:val="00DB3696"/>
    <w:rsid w:val="00DC52D2"/>
    <w:rsid w:val="00DF218A"/>
    <w:rsid w:val="00E06084"/>
    <w:rsid w:val="00E135A9"/>
    <w:rsid w:val="00E2193D"/>
    <w:rsid w:val="00E24DDB"/>
    <w:rsid w:val="00E30EB6"/>
    <w:rsid w:val="00E321AF"/>
    <w:rsid w:val="00E35FE5"/>
    <w:rsid w:val="00E4132D"/>
    <w:rsid w:val="00E620BB"/>
    <w:rsid w:val="00E65F06"/>
    <w:rsid w:val="00E71B19"/>
    <w:rsid w:val="00E745A5"/>
    <w:rsid w:val="00E83931"/>
    <w:rsid w:val="00E90506"/>
    <w:rsid w:val="00EB00FF"/>
    <w:rsid w:val="00EB023C"/>
    <w:rsid w:val="00ED1E31"/>
    <w:rsid w:val="00EE42AB"/>
    <w:rsid w:val="00EE46E3"/>
    <w:rsid w:val="00EF02D2"/>
    <w:rsid w:val="00EF74ED"/>
    <w:rsid w:val="00F040CE"/>
    <w:rsid w:val="00F60508"/>
    <w:rsid w:val="00F6168F"/>
    <w:rsid w:val="00F621AE"/>
    <w:rsid w:val="00F92779"/>
    <w:rsid w:val="00F9335B"/>
    <w:rsid w:val="00F941FD"/>
    <w:rsid w:val="00F97485"/>
    <w:rsid w:val="00FA61BF"/>
    <w:rsid w:val="00FB0D37"/>
    <w:rsid w:val="00FB1942"/>
    <w:rsid w:val="00FB36A9"/>
    <w:rsid w:val="00FD388B"/>
    <w:rsid w:val="00FE297C"/>
    <w:rsid w:val="00FE2FD9"/>
    <w:rsid w:val="00FE3CB9"/>
    <w:rsid w:val="00FE738D"/>
    <w:rsid w:val="00FF20D9"/>
    <w:rsid w:val="00FF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4A1B0C9"/>
  <w15:docId w15:val="{3D0B651B-90AD-4BC5-8CCC-E42BE9EC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5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B66"/>
    <w:pPr>
      <w:ind w:left="720"/>
      <w:contextualSpacing/>
    </w:pPr>
  </w:style>
  <w:style w:type="paragraph" w:styleId="NoSpacing">
    <w:name w:val="No Spacing"/>
    <w:uiPriority w:val="1"/>
    <w:qFormat/>
    <w:rsid w:val="00BB226A"/>
    <w:pPr>
      <w:spacing w:after="0" w:line="240" w:lineRule="auto"/>
    </w:pPr>
  </w:style>
  <w:style w:type="table" w:styleId="TableGrid">
    <w:name w:val="Table Grid"/>
    <w:basedOn w:val="TableNormal"/>
    <w:uiPriority w:val="59"/>
    <w:rsid w:val="00BB2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59"/>
    <w:rPr>
      <w:rFonts w:ascii="Tahoma" w:hAnsi="Tahoma" w:cs="Tahoma"/>
      <w:sz w:val="16"/>
      <w:szCs w:val="16"/>
    </w:rPr>
  </w:style>
  <w:style w:type="paragraph" w:styleId="Header">
    <w:name w:val="header"/>
    <w:basedOn w:val="Normal"/>
    <w:link w:val="HeaderChar"/>
    <w:uiPriority w:val="99"/>
    <w:unhideWhenUsed/>
    <w:rsid w:val="00771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D9C"/>
  </w:style>
  <w:style w:type="paragraph" w:styleId="Footer">
    <w:name w:val="footer"/>
    <w:basedOn w:val="Normal"/>
    <w:link w:val="FooterChar"/>
    <w:uiPriority w:val="99"/>
    <w:unhideWhenUsed/>
    <w:rsid w:val="00771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D9C"/>
  </w:style>
  <w:style w:type="paragraph" w:styleId="FootnoteText">
    <w:name w:val="footnote text"/>
    <w:basedOn w:val="Normal"/>
    <w:link w:val="FootnoteTextChar"/>
    <w:uiPriority w:val="99"/>
    <w:semiHidden/>
    <w:unhideWhenUsed/>
    <w:rsid w:val="00D94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7F"/>
    <w:rPr>
      <w:sz w:val="20"/>
      <w:szCs w:val="20"/>
    </w:rPr>
  </w:style>
  <w:style w:type="character" w:styleId="FootnoteReference">
    <w:name w:val="footnote reference"/>
    <w:basedOn w:val="DefaultParagraphFont"/>
    <w:uiPriority w:val="99"/>
    <w:semiHidden/>
    <w:unhideWhenUsed/>
    <w:rsid w:val="00D94E7F"/>
    <w:rPr>
      <w:vertAlign w:val="superscript"/>
    </w:rPr>
  </w:style>
  <w:style w:type="character" w:styleId="CommentReference">
    <w:name w:val="annotation reference"/>
    <w:basedOn w:val="DefaultParagraphFont"/>
    <w:uiPriority w:val="99"/>
    <w:semiHidden/>
    <w:unhideWhenUsed/>
    <w:rsid w:val="00FB1942"/>
    <w:rPr>
      <w:sz w:val="16"/>
      <w:szCs w:val="16"/>
    </w:rPr>
  </w:style>
  <w:style w:type="paragraph" w:styleId="CommentText">
    <w:name w:val="annotation text"/>
    <w:basedOn w:val="Normal"/>
    <w:link w:val="CommentTextChar"/>
    <w:uiPriority w:val="99"/>
    <w:unhideWhenUsed/>
    <w:rsid w:val="00FB1942"/>
    <w:pPr>
      <w:spacing w:line="240" w:lineRule="auto"/>
    </w:pPr>
    <w:rPr>
      <w:sz w:val="20"/>
      <w:szCs w:val="20"/>
    </w:rPr>
  </w:style>
  <w:style w:type="character" w:customStyle="1" w:styleId="CommentTextChar">
    <w:name w:val="Comment Text Char"/>
    <w:basedOn w:val="DefaultParagraphFont"/>
    <w:link w:val="CommentText"/>
    <w:uiPriority w:val="99"/>
    <w:rsid w:val="00FB1942"/>
    <w:rPr>
      <w:sz w:val="20"/>
      <w:szCs w:val="20"/>
    </w:rPr>
  </w:style>
  <w:style w:type="paragraph" w:styleId="CommentSubject">
    <w:name w:val="annotation subject"/>
    <w:basedOn w:val="CommentText"/>
    <w:next w:val="CommentText"/>
    <w:link w:val="CommentSubjectChar"/>
    <w:uiPriority w:val="99"/>
    <w:semiHidden/>
    <w:unhideWhenUsed/>
    <w:rsid w:val="00FB1942"/>
    <w:rPr>
      <w:b/>
      <w:bCs/>
    </w:rPr>
  </w:style>
  <w:style w:type="character" w:customStyle="1" w:styleId="CommentSubjectChar">
    <w:name w:val="Comment Subject Char"/>
    <w:basedOn w:val="CommentTextChar"/>
    <w:link w:val="CommentSubject"/>
    <w:uiPriority w:val="99"/>
    <w:semiHidden/>
    <w:rsid w:val="00FB1942"/>
    <w:rPr>
      <w:b/>
      <w:bCs/>
      <w:sz w:val="20"/>
      <w:szCs w:val="20"/>
    </w:rPr>
  </w:style>
  <w:style w:type="paragraph" w:styleId="Revision">
    <w:name w:val="Revision"/>
    <w:hidden/>
    <w:uiPriority w:val="99"/>
    <w:semiHidden/>
    <w:rsid w:val="003B7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8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B405-CABF-4A56-A59B-B2D04A3C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2358</Words>
  <Characters>13447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Vella Louie</cp:lastModifiedBy>
  <cp:revision>2</cp:revision>
  <cp:lastPrinted>2017-03-09T18:40:00Z</cp:lastPrinted>
  <dcterms:created xsi:type="dcterms:W3CDTF">2020-02-07T00:55:00Z</dcterms:created>
  <dcterms:modified xsi:type="dcterms:W3CDTF">2020-02-07T00:55:00Z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